
<file path=[Content_Types].xml><?xml version="1.0" encoding="utf-8"?>
<Types xmlns="http://schemas.openxmlformats.org/package/2006/content-types">
  <Default Extension="xml" ContentType="application/xml"/>
  <Default Extension="xlsx" ContentType="application/vnd.openxmlformats-officedocument.spreadsheetml.sheet"/>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outlineLvl w:val="9"/>
        <w:rPr>
          <w:rFonts w:ascii="方正小标宋简体" w:hAnsi="宋体" w:eastAsia="方正小标宋简体"/>
          <w:color w:val="auto"/>
          <w:sz w:val="21"/>
          <w:szCs w:val="21"/>
          <w:highlight w:val="none"/>
        </w:rPr>
      </w:pPr>
      <w:bookmarkStart w:id="0" w:name="_Toc15306267"/>
    </w:p>
    <w:p>
      <w:pPr>
        <w:spacing w:line="600" w:lineRule="exact"/>
        <w:jc w:val="center"/>
        <w:outlineLvl w:val="9"/>
        <w:rPr>
          <w:rFonts w:ascii="方正小标宋简体" w:hAnsi="宋体" w:eastAsia="方正小标宋简体"/>
          <w:color w:val="auto"/>
          <w:sz w:val="72"/>
          <w:szCs w:val="72"/>
          <w:highlight w:val="none"/>
        </w:rPr>
      </w:pPr>
    </w:p>
    <w:p>
      <w:pPr>
        <w:spacing w:line="600" w:lineRule="exact"/>
        <w:jc w:val="center"/>
        <w:outlineLvl w:val="9"/>
        <w:rPr>
          <w:rFonts w:ascii="方正小标宋简体" w:hAnsi="宋体" w:eastAsia="方正小标宋简体"/>
          <w:color w:val="auto"/>
          <w:sz w:val="72"/>
          <w:szCs w:val="72"/>
          <w:highlight w:val="none"/>
        </w:rPr>
      </w:pPr>
    </w:p>
    <w:bookmarkEnd w:id="0"/>
    <w:p>
      <w:pPr>
        <w:adjustRightInd w:val="0"/>
        <w:snapToGrid w:val="0"/>
        <w:spacing w:line="360" w:lineRule="auto"/>
        <w:jc w:val="center"/>
        <w:outlineLvl w:val="0"/>
        <w:rPr>
          <w:rFonts w:hint="eastAsia" w:ascii="方正小标宋简体" w:hAnsi="方正小标宋简体" w:eastAsia="方正小标宋简体" w:cs="方正小标宋简体"/>
          <w:color w:val="auto"/>
          <w:sz w:val="72"/>
          <w:szCs w:val="72"/>
          <w:highlight w:val="none"/>
        </w:rPr>
      </w:pPr>
      <w:bookmarkStart w:id="1" w:name="_Toc24274"/>
      <w:r>
        <w:rPr>
          <w:rFonts w:hint="eastAsia" w:ascii="方正小标宋简体" w:hAnsi="方正小标宋简体" w:eastAsia="方正小标宋简体" w:cs="方正小标宋简体"/>
          <w:color w:val="auto"/>
          <w:sz w:val="72"/>
          <w:szCs w:val="72"/>
          <w:highlight w:val="none"/>
        </w:rPr>
        <w:t>20</w:t>
      </w:r>
      <w:r>
        <w:rPr>
          <w:rFonts w:hint="eastAsia" w:ascii="方正小标宋简体" w:hAnsi="方正小标宋简体" w:eastAsia="方正小标宋简体" w:cs="方正小标宋简体"/>
          <w:color w:val="auto"/>
          <w:sz w:val="72"/>
          <w:szCs w:val="72"/>
          <w:highlight w:val="none"/>
          <w:lang w:val="en-US" w:eastAsia="zh-CN"/>
        </w:rPr>
        <w:t>22</w:t>
      </w:r>
      <w:r>
        <w:rPr>
          <w:rFonts w:hint="eastAsia" w:ascii="方正小标宋简体" w:hAnsi="方正小标宋简体" w:eastAsia="方正小标宋简体" w:cs="方正小标宋简体"/>
          <w:color w:val="auto"/>
          <w:sz w:val="72"/>
          <w:szCs w:val="72"/>
          <w:highlight w:val="none"/>
        </w:rPr>
        <w:t>年度</w:t>
      </w:r>
      <w:bookmarkEnd w:id="1"/>
    </w:p>
    <w:p>
      <w:pPr>
        <w:adjustRightInd w:val="0"/>
        <w:snapToGrid w:val="0"/>
        <w:spacing w:line="360" w:lineRule="auto"/>
        <w:jc w:val="center"/>
        <w:outlineLvl w:val="0"/>
        <w:rPr>
          <w:rFonts w:hint="eastAsia" w:ascii="方正小标宋简体" w:hAnsi="方正小标宋简体" w:eastAsia="方正小标宋简体" w:cs="方正小标宋简体"/>
          <w:color w:val="auto"/>
          <w:sz w:val="72"/>
          <w:szCs w:val="72"/>
          <w:highlight w:val="none"/>
        </w:rPr>
      </w:pPr>
      <w:bookmarkStart w:id="2" w:name="_Toc15377194"/>
      <w:bookmarkStart w:id="3" w:name="_Toc15396598"/>
      <w:bookmarkStart w:id="4" w:name="_Toc31873"/>
      <w:bookmarkStart w:id="5" w:name="_Toc15378442"/>
      <w:bookmarkStart w:id="6" w:name="_Toc15396476"/>
      <w:bookmarkStart w:id="7" w:name="_Toc15377426"/>
      <w:r>
        <w:rPr>
          <w:rFonts w:hint="eastAsia" w:ascii="方正小标宋简体" w:hAnsi="方正小标宋简体" w:eastAsia="方正小标宋简体" w:cs="方正小标宋简体"/>
          <w:color w:val="auto"/>
          <w:sz w:val="72"/>
          <w:szCs w:val="72"/>
          <w:highlight w:val="none"/>
          <w:lang w:eastAsia="zh-CN"/>
        </w:rPr>
        <w:t>广元市</w:t>
      </w:r>
      <w:bookmarkStart w:id="8" w:name="_Toc15306268"/>
      <w:r>
        <w:rPr>
          <w:rFonts w:hint="eastAsia" w:ascii="方正小标宋简体" w:hAnsi="方正小标宋简体" w:eastAsia="方正小标宋简体" w:cs="方正小标宋简体"/>
          <w:color w:val="auto"/>
          <w:sz w:val="72"/>
          <w:szCs w:val="72"/>
          <w:highlight w:val="none"/>
          <w:lang w:eastAsia="zh-CN"/>
        </w:rPr>
        <w:t>公共资源交易信息中心单位</w:t>
      </w:r>
      <w:r>
        <w:rPr>
          <w:rFonts w:hint="eastAsia" w:ascii="方正小标宋简体" w:hAnsi="方正小标宋简体" w:eastAsia="方正小标宋简体" w:cs="方正小标宋简体"/>
          <w:color w:val="auto"/>
          <w:sz w:val="72"/>
          <w:szCs w:val="72"/>
          <w:highlight w:val="none"/>
        </w:rPr>
        <w:t>决算</w:t>
      </w:r>
      <w:bookmarkEnd w:id="2"/>
      <w:bookmarkEnd w:id="3"/>
      <w:bookmarkEnd w:id="4"/>
      <w:bookmarkEnd w:id="5"/>
      <w:bookmarkEnd w:id="6"/>
      <w:bookmarkEnd w:id="7"/>
      <w:bookmarkEnd w:id="8"/>
    </w:p>
    <w:p>
      <w:pPr>
        <w:widowControl/>
        <w:jc w:val="center"/>
        <w:rPr>
          <w:rFonts w:ascii="黑体" w:hAnsi="黑体" w:eastAsia="黑体"/>
          <w:color w:val="auto"/>
          <w:sz w:val="48"/>
          <w:szCs w:val="48"/>
          <w:highlight w:val="none"/>
        </w:rPr>
      </w:pPr>
      <w:r>
        <w:rPr>
          <w:rFonts w:ascii="方正小标宋简体" w:hAnsi="宋体" w:eastAsia="方正小标宋简体"/>
          <w:color w:val="auto"/>
          <w:sz w:val="36"/>
          <w:szCs w:val="36"/>
          <w:highlight w:val="none"/>
        </w:rPr>
        <w:br w:type="page"/>
      </w:r>
      <w:r>
        <w:rPr>
          <w:rFonts w:hint="eastAsia" w:ascii="黑体" w:hAnsi="黑体" w:eastAsia="黑体"/>
          <w:color w:val="auto"/>
          <w:sz w:val="48"/>
          <w:szCs w:val="48"/>
          <w:highlight w:val="none"/>
        </w:rPr>
        <w:t>目录</w:t>
      </w:r>
    </w:p>
    <w:p>
      <w:pPr>
        <w:widowControl/>
        <w:jc w:val="center"/>
        <w:rPr>
          <w:rFonts w:ascii="黑体" w:hAnsi="黑体" w:eastAsia="黑体" w:cstheme="minorBidi"/>
          <w:color w:val="auto"/>
          <w:sz w:val="28"/>
          <w:szCs w:val="28"/>
          <w:highlight w:val="none"/>
        </w:rPr>
      </w:pPr>
    </w:p>
    <w:p>
      <w:pPr>
        <w:pStyle w:val="11"/>
        <w:rPr>
          <w:rFonts w:hint="eastAsia" w:eastAsia="仿宋"/>
          <w:color w:val="auto"/>
          <w:highlight w:val="none"/>
          <w:lang w:val="en-US" w:eastAsia="zh-CN"/>
        </w:rPr>
      </w:pPr>
      <w:r>
        <w:rPr>
          <w:rFonts w:hint="eastAsia"/>
          <w:color w:val="auto"/>
          <w:highlight w:val="none"/>
        </w:rPr>
        <w:t>公开时间：20</w:t>
      </w:r>
      <w:r>
        <w:rPr>
          <w:rFonts w:hint="eastAsia"/>
          <w:color w:val="auto"/>
          <w:highlight w:val="none"/>
          <w:lang w:val="en-US" w:eastAsia="zh-CN"/>
        </w:rPr>
        <w:t>23</w:t>
      </w:r>
      <w:r>
        <w:rPr>
          <w:rFonts w:hint="eastAsia"/>
          <w:color w:val="auto"/>
          <w:highlight w:val="none"/>
        </w:rPr>
        <w:t>年</w:t>
      </w:r>
      <w:r>
        <w:rPr>
          <w:rFonts w:hint="eastAsia"/>
          <w:color w:val="auto"/>
          <w:highlight w:val="none"/>
          <w:lang w:val="en-US" w:eastAsia="zh-CN"/>
        </w:rPr>
        <w:t xml:space="preserve">10 </w:t>
      </w:r>
      <w:r>
        <w:rPr>
          <w:rFonts w:hint="eastAsia"/>
          <w:color w:val="auto"/>
          <w:highlight w:val="none"/>
        </w:rPr>
        <w:t>月</w:t>
      </w:r>
      <w:r>
        <w:rPr>
          <w:rFonts w:hint="eastAsia"/>
          <w:color w:val="auto"/>
          <w:highlight w:val="none"/>
          <w:lang w:val="en-US" w:eastAsia="zh-CN"/>
        </w:rPr>
        <w:t xml:space="preserve">18 </w:t>
      </w:r>
      <w:r>
        <w:rPr>
          <w:rFonts w:hint="eastAsia"/>
          <w:color w:val="auto"/>
          <w:highlight w:val="none"/>
        </w:rPr>
        <w:t>日</w:t>
      </w:r>
    </w:p>
    <w:sdt>
      <w:sdtPr>
        <w:rPr>
          <w:rFonts w:ascii="宋体" w:hAnsi="宋体" w:eastAsia="宋体" w:cs="Times New Roman"/>
          <w:kern w:val="2"/>
          <w:sz w:val="21"/>
          <w:szCs w:val="24"/>
          <w:lang w:val="en-US" w:eastAsia="zh-CN" w:bidi="ar-SA"/>
        </w:rPr>
        <w:id w:val="147477697"/>
        <w15:color w:val="DBDBDB"/>
        <w:docPartObj>
          <w:docPartGallery w:val="Table of Contents"/>
          <w:docPartUnique/>
        </w:docPartObj>
      </w:sdtPr>
      <w:sdtEndPr>
        <w:rPr>
          <w:rFonts w:hint="eastAsia" w:ascii="宋体" w:hAnsi="宋体" w:eastAsia="宋体" w:cs="宋体"/>
          <w:b/>
          <w:kern w:val="2"/>
          <w:sz w:val="24"/>
          <w:szCs w:val="24"/>
          <w:lang w:val="en-US" w:eastAsia="zh-CN" w:bidi="ar-SA"/>
        </w:rPr>
      </w:sdtEndPr>
      <w:sdtContent>
        <w:p>
          <w:pPr>
            <w:pStyle w:val="33"/>
            <w:tabs>
              <w:tab w:val="right" w:leader="dot" w:pos="8306"/>
            </w:tabs>
            <w:rPr>
              <w:rFonts w:hint="eastAsia" w:ascii="宋体" w:hAnsi="宋体" w:eastAsia="宋体" w:cs="宋体"/>
              <w:b/>
              <w:sz w:val="24"/>
              <w:szCs w:val="24"/>
            </w:rPr>
          </w:pPr>
          <w:bookmarkStart w:id="9" w:name="_Toc15377196"/>
          <w:bookmarkStart w:id="10" w:name="_Toc15396599"/>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TOC \o "1-2" \h \u </w:instrText>
          </w:r>
          <w:r>
            <w:rPr>
              <w:rFonts w:hint="eastAsia" w:ascii="宋体" w:hAnsi="宋体" w:eastAsia="宋体" w:cs="宋体"/>
              <w:sz w:val="24"/>
              <w:szCs w:val="24"/>
            </w:rPr>
            <w:fldChar w:fldCharType="separate"/>
          </w:r>
        </w:p>
        <w:p>
          <w:pPr>
            <w:pStyle w:val="33"/>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仿宋" w:hAnsi="仿宋" w:eastAsia="仿宋" w:cs="仿宋"/>
              <w:b w:val="0"/>
              <w:bCs/>
              <w:sz w:val="24"/>
              <w:szCs w:val="24"/>
            </w:rPr>
          </w:pPr>
          <w:r>
            <w:rPr>
              <w:rFonts w:hint="eastAsia" w:ascii="仿宋" w:hAnsi="仿宋" w:eastAsia="仿宋" w:cs="仿宋"/>
              <w:b w:val="0"/>
              <w:bCs/>
              <w:sz w:val="24"/>
              <w:szCs w:val="24"/>
            </w:rPr>
            <w:fldChar w:fldCharType="begin"/>
          </w:r>
          <w:r>
            <w:rPr>
              <w:rFonts w:hint="eastAsia" w:ascii="仿宋" w:hAnsi="仿宋" w:eastAsia="仿宋" w:cs="仿宋"/>
              <w:b w:val="0"/>
              <w:bCs/>
              <w:sz w:val="24"/>
              <w:szCs w:val="24"/>
            </w:rPr>
            <w:instrText xml:space="preserve"> HYPERLINK \l _Toc12587 </w:instrText>
          </w:r>
          <w:r>
            <w:rPr>
              <w:rFonts w:hint="eastAsia" w:ascii="仿宋" w:hAnsi="仿宋" w:eastAsia="仿宋" w:cs="仿宋"/>
              <w:b w:val="0"/>
              <w:bCs/>
              <w:sz w:val="24"/>
              <w:szCs w:val="24"/>
            </w:rPr>
            <w:fldChar w:fldCharType="separate"/>
          </w:r>
          <w:r>
            <w:rPr>
              <w:rFonts w:hint="eastAsia" w:ascii="仿宋" w:hAnsi="仿宋" w:eastAsia="仿宋" w:cs="仿宋"/>
              <w:b w:val="0"/>
              <w:bCs/>
              <w:sz w:val="24"/>
              <w:szCs w:val="24"/>
              <w:highlight w:val="none"/>
            </w:rPr>
            <w:t xml:space="preserve">第一部分 </w:t>
          </w:r>
          <w:r>
            <w:rPr>
              <w:rFonts w:hint="eastAsia" w:ascii="仿宋" w:hAnsi="仿宋" w:eastAsia="仿宋" w:cs="仿宋"/>
              <w:b w:val="0"/>
              <w:bCs/>
              <w:sz w:val="24"/>
              <w:szCs w:val="24"/>
              <w:highlight w:val="none"/>
              <w:lang w:eastAsia="zh-CN"/>
            </w:rPr>
            <w:t>单位</w:t>
          </w:r>
          <w:r>
            <w:rPr>
              <w:rFonts w:hint="eastAsia" w:ascii="仿宋" w:hAnsi="仿宋" w:eastAsia="仿宋" w:cs="仿宋"/>
              <w:b w:val="0"/>
              <w:bCs/>
              <w:sz w:val="24"/>
              <w:szCs w:val="24"/>
              <w:highlight w:val="none"/>
            </w:rPr>
            <w:t>概况</w:t>
          </w:r>
          <w:r>
            <w:rPr>
              <w:rFonts w:hint="eastAsia" w:ascii="仿宋" w:hAnsi="仿宋" w:eastAsia="仿宋" w:cs="仿宋"/>
              <w:b w:val="0"/>
              <w:bCs/>
              <w:sz w:val="24"/>
              <w:szCs w:val="24"/>
            </w:rPr>
            <w:tab/>
          </w:r>
          <w:r>
            <w:rPr>
              <w:rFonts w:hint="eastAsia" w:ascii="仿宋" w:hAnsi="仿宋" w:eastAsia="仿宋" w:cs="仿宋"/>
              <w:b w:val="0"/>
              <w:bCs/>
              <w:sz w:val="24"/>
              <w:szCs w:val="24"/>
            </w:rPr>
            <w:fldChar w:fldCharType="begin"/>
          </w:r>
          <w:r>
            <w:rPr>
              <w:rFonts w:hint="eastAsia" w:ascii="仿宋" w:hAnsi="仿宋" w:eastAsia="仿宋" w:cs="仿宋"/>
              <w:b w:val="0"/>
              <w:bCs/>
              <w:sz w:val="24"/>
              <w:szCs w:val="24"/>
            </w:rPr>
            <w:instrText xml:space="preserve"> PAGEREF _Toc12587 \h </w:instrText>
          </w:r>
          <w:r>
            <w:rPr>
              <w:rFonts w:hint="eastAsia" w:ascii="仿宋" w:hAnsi="仿宋" w:eastAsia="仿宋" w:cs="仿宋"/>
              <w:b w:val="0"/>
              <w:bCs/>
              <w:sz w:val="24"/>
              <w:szCs w:val="24"/>
            </w:rPr>
            <w:fldChar w:fldCharType="separate"/>
          </w:r>
          <w:r>
            <w:rPr>
              <w:rFonts w:hint="eastAsia" w:ascii="仿宋" w:hAnsi="仿宋" w:eastAsia="仿宋" w:cs="仿宋"/>
              <w:b w:val="0"/>
              <w:bCs/>
              <w:sz w:val="24"/>
              <w:szCs w:val="24"/>
            </w:rPr>
            <w:t>4</w:t>
          </w:r>
          <w:r>
            <w:rPr>
              <w:rFonts w:hint="eastAsia" w:ascii="仿宋" w:hAnsi="仿宋" w:eastAsia="仿宋" w:cs="仿宋"/>
              <w:b w:val="0"/>
              <w:bCs/>
              <w:sz w:val="24"/>
              <w:szCs w:val="24"/>
            </w:rPr>
            <w:fldChar w:fldCharType="end"/>
          </w:r>
          <w:r>
            <w:rPr>
              <w:rFonts w:hint="eastAsia" w:ascii="仿宋" w:hAnsi="仿宋" w:eastAsia="仿宋" w:cs="仿宋"/>
              <w:b w:val="0"/>
              <w:bCs/>
              <w:sz w:val="24"/>
              <w:szCs w:val="24"/>
            </w:rPr>
            <w:fldChar w:fldCharType="end"/>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b w:val="0"/>
              <w:bCs/>
              <w:sz w:val="24"/>
              <w:szCs w:val="24"/>
            </w:rPr>
          </w:pP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HYPERLINK \l _Toc18936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lang w:eastAsia="zh-CN"/>
            </w:rPr>
            <w:t xml:space="preserve">一、 </w:t>
          </w:r>
          <w:r>
            <w:rPr>
              <w:rFonts w:hint="eastAsia" w:ascii="宋体" w:hAnsi="宋体" w:eastAsia="宋体" w:cs="宋体"/>
              <w:b w:val="0"/>
              <w:bCs/>
              <w:sz w:val="24"/>
              <w:szCs w:val="24"/>
              <w:highlight w:val="none"/>
              <w:lang w:eastAsia="zh-CN"/>
            </w:rPr>
            <w:t>主要职责</w:t>
          </w:r>
          <w:r>
            <w:rPr>
              <w:rFonts w:hint="eastAsia" w:ascii="宋体" w:hAnsi="宋体" w:eastAsia="宋体" w:cs="宋体"/>
              <w:b w:val="0"/>
              <w:bCs/>
              <w:sz w:val="24"/>
              <w:szCs w:val="24"/>
            </w:rPr>
            <w:tab/>
          </w: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PAGEREF _Toc18936 \h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rPr>
            <w:t>4</w:t>
          </w:r>
          <w:r>
            <w:rPr>
              <w:rFonts w:hint="eastAsia" w:ascii="宋体" w:hAnsi="宋体" w:eastAsia="宋体" w:cs="宋体"/>
              <w:b w:val="0"/>
              <w:bCs/>
              <w:sz w:val="24"/>
              <w:szCs w:val="24"/>
            </w:rPr>
            <w:fldChar w:fldCharType="end"/>
          </w:r>
          <w:r>
            <w:rPr>
              <w:rFonts w:hint="eastAsia" w:ascii="宋体" w:hAnsi="宋体" w:eastAsia="宋体" w:cs="宋体"/>
              <w:b w:val="0"/>
              <w:bCs/>
              <w:sz w:val="24"/>
              <w:szCs w:val="24"/>
            </w:rPr>
            <w:fldChar w:fldCharType="end"/>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b w:val="0"/>
              <w:bCs/>
              <w:sz w:val="24"/>
              <w:szCs w:val="24"/>
            </w:rPr>
          </w:pP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HYPERLINK \l _Toc31586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highlight w:val="none"/>
              <w:lang w:val="en-US" w:eastAsia="zh-CN"/>
            </w:rPr>
            <w:t>二、机构设置</w:t>
          </w:r>
          <w:r>
            <w:rPr>
              <w:rFonts w:hint="eastAsia" w:ascii="宋体" w:hAnsi="宋体" w:eastAsia="宋体" w:cs="宋体"/>
              <w:b w:val="0"/>
              <w:bCs/>
              <w:sz w:val="24"/>
              <w:szCs w:val="24"/>
            </w:rPr>
            <w:tab/>
          </w: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PAGEREF _Toc31586 \h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rPr>
            <w:t>5</w:t>
          </w:r>
          <w:r>
            <w:rPr>
              <w:rFonts w:hint="eastAsia" w:ascii="宋体" w:hAnsi="宋体" w:eastAsia="宋体" w:cs="宋体"/>
              <w:b w:val="0"/>
              <w:bCs/>
              <w:sz w:val="24"/>
              <w:szCs w:val="24"/>
            </w:rPr>
            <w:fldChar w:fldCharType="end"/>
          </w:r>
          <w:r>
            <w:rPr>
              <w:rFonts w:hint="eastAsia" w:ascii="宋体" w:hAnsi="宋体" w:eastAsia="宋体" w:cs="宋体"/>
              <w:b w:val="0"/>
              <w:bCs/>
              <w:sz w:val="24"/>
              <w:szCs w:val="24"/>
            </w:rPr>
            <w:fldChar w:fldCharType="end"/>
          </w:r>
        </w:p>
        <w:p>
          <w:pPr>
            <w:pStyle w:val="33"/>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仿宋" w:hAnsi="仿宋" w:eastAsia="仿宋" w:cs="仿宋"/>
              <w:b w:val="0"/>
              <w:bCs/>
              <w:sz w:val="24"/>
              <w:szCs w:val="24"/>
            </w:rPr>
          </w:pPr>
          <w:r>
            <w:rPr>
              <w:rFonts w:hint="eastAsia" w:ascii="仿宋" w:hAnsi="仿宋" w:eastAsia="仿宋" w:cs="仿宋"/>
              <w:b w:val="0"/>
              <w:bCs/>
              <w:sz w:val="24"/>
              <w:szCs w:val="24"/>
            </w:rPr>
            <w:fldChar w:fldCharType="begin"/>
          </w:r>
          <w:r>
            <w:rPr>
              <w:rFonts w:hint="eastAsia" w:ascii="仿宋" w:hAnsi="仿宋" w:eastAsia="仿宋" w:cs="仿宋"/>
              <w:b w:val="0"/>
              <w:bCs/>
              <w:sz w:val="24"/>
              <w:szCs w:val="24"/>
            </w:rPr>
            <w:instrText xml:space="preserve"> HYPERLINK \l _Toc21282 </w:instrText>
          </w:r>
          <w:r>
            <w:rPr>
              <w:rFonts w:hint="eastAsia" w:ascii="仿宋" w:hAnsi="仿宋" w:eastAsia="仿宋" w:cs="仿宋"/>
              <w:b w:val="0"/>
              <w:bCs/>
              <w:sz w:val="24"/>
              <w:szCs w:val="24"/>
            </w:rPr>
            <w:fldChar w:fldCharType="separate"/>
          </w:r>
          <w:r>
            <w:rPr>
              <w:rFonts w:hint="eastAsia" w:ascii="仿宋" w:hAnsi="仿宋" w:eastAsia="仿宋" w:cs="仿宋"/>
              <w:b w:val="0"/>
              <w:bCs/>
              <w:sz w:val="24"/>
              <w:szCs w:val="24"/>
            </w:rPr>
            <w:t xml:space="preserve">第二部分 </w:t>
          </w:r>
          <w:r>
            <w:rPr>
              <w:rFonts w:hint="eastAsia" w:ascii="仿宋" w:hAnsi="仿宋" w:eastAsia="仿宋" w:cs="仿宋"/>
              <w:b w:val="0"/>
              <w:bCs/>
              <w:sz w:val="24"/>
              <w:szCs w:val="24"/>
              <w:lang w:val="en-US" w:eastAsia="zh-CN"/>
            </w:rPr>
            <w:t>2022年度</w:t>
          </w:r>
          <w:r>
            <w:rPr>
              <w:rFonts w:hint="eastAsia" w:ascii="仿宋" w:hAnsi="仿宋" w:eastAsia="仿宋" w:cs="仿宋"/>
              <w:b w:val="0"/>
              <w:bCs/>
              <w:sz w:val="24"/>
              <w:szCs w:val="24"/>
              <w:lang w:eastAsia="zh-CN"/>
            </w:rPr>
            <w:t>单位</w:t>
          </w:r>
          <w:r>
            <w:rPr>
              <w:rFonts w:hint="eastAsia" w:ascii="仿宋" w:hAnsi="仿宋" w:eastAsia="仿宋" w:cs="仿宋"/>
              <w:b w:val="0"/>
              <w:bCs/>
              <w:sz w:val="24"/>
              <w:szCs w:val="24"/>
            </w:rPr>
            <w:t>决算情况说明</w:t>
          </w:r>
          <w:r>
            <w:rPr>
              <w:rFonts w:hint="eastAsia" w:ascii="仿宋" w:hAnsi="仿宋" w:eastAsia="仿宋" w:cs="仿宋"/>
              <w:b w:val="0"/>
              <w:bCs/>
              <w:sz w:val="24"/>
              <w:szCs w:val="24"/>
            </w:rPr>
            <w:tab/>
          </w:r>
          <w:r>
            <w:rPr>
              <w:rFonts w:hint="eastAsia" w:ascii="仿宋" w:hAnsi="仿宋" w:eastAsia="仿宋" w:cs="仿宋"/>
              <w:b w:val="0"/>
              <w:bCs/>
              <w:sz w:val="24"/>
              <w:szCs w:val="24"/>
            </w:rPr>
            <w:fldChar w:fldCharType="begin"/>
          </w:r>
          <w:r>
            <w:rPr>
              <w:rFonts w:hint="eastAsia" w:ascii="仿宋" w:hAnsi="仿宋" w:eastAsia="仿宋" w:cs="仿宋"/>
              <w:b w:val="0"/>
              <w:bCs/>
              <w:sz w:val="24"/>
              <w:szCs w:val="24"/>
            </w:rPr>
            <w:instrText xml:space="preserve"> PAGEREF _Toc21282 \h </w:instrText>
          </w:r>
          <w:r>
            <w:rPr>
              <w:rFonts w:hint="eastAsia" w:ascii="仿宋" w:hAnsi="仿宋" w:eastAsia="仿宋" w:cs="仿宋"/>
              <w:b w:val="0"/>
              <w:bCs/>
              <w:sz w:val="24"/>
              <w:szCs w:val="24"/>
            </w:rPr>
            <w:fldChar w:fldCharType="separate"/>
          </w:r>
          <w:r>
            <w:rPr>
              <w:rFonts w:hint="eastAsia" w:ascii="仿宋" w:hAnsi="仿宋" w:eastAsia="仿宋" w:cs="仿宋"/>
              <w:b w:val="0"/>
              <w:bCs/>
              <w:sz w:val="24"/>
              <w:szCs w:val="24"/>
            </w:rPr>
            <w:t>6</w:t>
          </w:r>
          <w:r>
            <w:rPr>
              <w:rFonts w:hint="eastAsia" w:ascii="仿宋" w:hAnsi="仿宋" w:eastAsia="仿宋" w:cs="仿宋"/>
              <w:b w:val="0"/>
              <w:bCs/>
              <w:sz w:val="24"/>
              <w:szCs w:val="24"/>
            </w:rPr>
            <w:fldChar w:fldCharType="end"/>
          </w:r>
          <w:r>
            <w:rPr>
              <w:rFonts w:hint="eastAsia" w:ascii="仿宋" w:hAnsi="仿宋" w:eastAsia="仿宋" w:cs="仿宋"/>
              <w:b w:val="0"/>
              <w:bCs/>
              <w:sz w:val="24"/>
              <w:szCs w:val="24"/>
            </w:rPr>
            <w:fldChar w:fldCharType="end"/>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b w:val="0"/>
              <w:bCs/>
              <w:sz w:val="24"/>
              <w:szCs w:val="24"/>
            </w:rPr>
          </w:pP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HYPERLINK \l _Toc10652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rPr>
            <w:t xml:space="preserve">一、 </w:t>
          </w:r>
          <w:r>
            <w:rPr>
              <w:rFonts w:hint="eastAsia" w:ascii="宋体" w:hAnsi="宋体" w:eastAsia="宋体" w:cs="宋体"/>
              <w:b w:val="0"/>
              <w:bCs/>
              <w:sz w:val="24"/>
              <w:szCs w:val="24"/>
              <w:highlight w:val="none"/>
            </w:rPr>
            <w:t>收入支出决算总体情况说明</w:t>
          </w:r>
          <w:r>
            <w:rPr>
              <w:rFonts w:hint="eastAsia" w:ascii="宋体" w:hAnsi="宋体" w:eastAsia="宋体" w:cs="宋体"/>
              <w:b w:val="0"/>
              <w:bCs/>
              <w:sz w:val="24"/>
              <w:szCs w:val="24"/>
            </w:rPr>
            <w:tab/>
          </w: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PAGEREF _Toc10652 \h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rPr>
            <w:t>6</w:t>
          </w:r>
          <w:r>
            <w:rPr>
              <w:rFonts w:hint="eastAsia" w:ascii="宋体" w:hAnsi="宋体" w:eastAsia="宋体" w:cs="宋体"/>
              <w:b w:val="0"/>
              <w:bCs/>
              <w:sz w:val="24"/>
              <w:szCs w:val="24"/>
            </w:rPr>
            <w:fldChar w:fldCharType="end"/>
          </w:r>
          <w:r>
            <w:rPr>
              <w:rFonts w:hint="eastAsia" w:ascii="宋体" w:hAnsi="宋体" w:eastAsia="宋体" w:cs="宋体"/>
              <w:b w:val="0"/>
              <w:bCs/>
              <w:sz w:val="24"/>
              <w:szCs w:val="24"/>
            </w:rPr>
            <w:fldChar w:fldCharType="end"/>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b w:val="0"/>
              <w:bCs/>
              <w:sz w:val="24"/>
              <w:szCs w:val="24"/>
            </w:rPr>
          </w:pP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HYPERLINK \l _Toc26607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rPr>
            <w:t xml:space="preserve">二、 </w:t>
          </w:r>
          <w:r>
            <w:rPr>
              <w:rFonts w:hint="eastAsia" w:ascii="宋体" w:hAnsi="宋体" w:eastAsia="宋体" w:cs="宋体"/>
              <w:b w:val="0"/>
              <w:bCs/>
              <w:sz w:val="24"/>
              <w:szCs w:val="24"/>
              <w:highlight w:val="none"/>
            </w:rPr>
            <w:t>收入决算情况说明</w:t>
          </w:r>
          <w:r>
            <w:rPr>
              <w:rFonts w:hint="eastAsia" w:ascii="宋体" w:hAnsi="宋体" w:eastAsia="宋体" w:cs="宋体"/>
              <w:b w:val="0"/>
              <w:bCs/>
              <w:sz w:val="24"/>
              <w:szCs w:val="24"/>
            </w:rPr>
            <w:tab/>
          </w: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PAGEREF _Toc26607 \h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rPr>
            <w:t>6</w:t>
          </w:r>
          <w:r>
            <w:rPr>
              <w:rFonts w:hint="eastAsia" w:ascii="宋体" w:hAnsi="宋体" w:eastAsia="宋体" w:cs="宋体"/>
              <w:b w:val="0"/>
              <w:bCs/>
              <w:sz w:val="24"/>
              <w:szCs w:val="24"/>
            </w:rPr>
            <w:fldChar w:fldCharType="end"/>
          </w:r>
          <w:r>
            <w:rPr>
              <w:rFonts w:hint="eastAsia" w:ascii="宋体" w:hAnsi="宋体" w:eastAsia="宋体" w:cs="宋体"/>
              <w:b w:val="0"/>
              <w:bCs/>
              <w:sz w:val="24"/>
              <w:szCs w:val="24"/>
            </w:rPr>
            <w:fldChar w:fldCharType="end"/>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b w:val="0"/>
              <w:bCs/>
              <w:sz w:val="24"/>
              <w:szCs w:val="24"/>
            </w:rPr>
          </w:pP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HYPERLINK \l _Toc32443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rPr>
            <w:t xml:space="preserve">三、 </w:t>
          </w:r>
          <w:r>
            <w:rPr>
              <w:rFonts w:hint="eastAsia" w:ascii="宋体" w:hAnsi="宋体" w:eastAsia="宋体" w:cs="宋体"/>
              <w:b w:val="0"/>
              <w:bCs/>
              <w:sz w:val="24"/>
              <w:szCs w:val="24"/>
              <w:highlight w:val="none"/>
            </w:rPr>
            <w:t>支出决算情况说明</w:t>
          </w:r>
          <w:r>
            <w:rPr>
              <w:rFonts w:hint="eastAsia" w:ascii="宋体" w:hAnsi="宋体" w:eastAsia="宋体" w:cs="宋体"/>
              <w:b w:val="0"/>
              <w:bCs/>
              <w:sz w:val="24"/>
              <w:szCs w:val="24"/>
            </w:rPr>
            <w:tab/>
          </w: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PAGEREF _Toc32443 \h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rPr>
            <w:t>7</w:t>
          </w:r>
          <w:r>
            <w:rPr>
              <w:rFonts w:hint="eastAsia" w:ascii="宋体" w:hAnsi="宋体" w:eastAsia="宋体" w:cs="宋体"/>
              <w:b w:val="0"/>
              <w:bCs/>
              <w:sz w:val="24"/>
              <w:szCs w:val="24"/>
            </w:rPr>
            <w:fldChar w:fldCharType="end"/>
          </w:r>
          <w:r>
            <w:rPr>
              <w:rFonts w:hint="eastAsia" w:ascii="宋体" w:hAnsi="宋体" w:eastAsia="宋体" w:cs="宋体"/>
              <w:b w:val="0"/>
              <w:bCs/>
              <w:sz w:val="24"/>
              <w:szCs w:val="24"/>
            </w:rPr>
            <w:fldChar w:fldCharType="end"/>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b w:val="0"/>
              <w:bCs/>
              <w:sz w:val="24"/>
              <w:szCs w:val="24"/>
            </w:rPr>
          </w:pP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HYPERLINK \l _Toc16075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highlight w:val="none"/>
            </w:rPr>
            <w:t>四、财政拨款收入支出决算总体情况说明</w:t>
          </w:r>
          <w:r>
            <w:rPr>
              <w:rFonts w:hint="eastAsia" w:ascii="宋体" w:hAnsi="宋体" w:eastAsia="宋体" w:cs="宋体"/>
              <w:b w:val="0"/>
              <w:bCs/>
              <w:sz w:val="24"/>
              <w:szCs w:val="24"/>
            </w:rPr>
            <w:tab/>
          </w: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PAGEREF _Toc16075 \h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rPr>
            <w:t>8</w:t>
          </w:r>
          <w:r>
            <w:rPr>
              <w:rFonts w:hint="eastAsia" w:ascii="宋体" w:hAnsi="宋体" w:eastAsia="宋体" w:cs="宋体"/>
              <w:b w:val="0"/>
              <w:bCs/>
              <w:sz w:val="24"/>
              <w:szCs w:val="24"/>
            </w:rPr>
            <w:fldChar w:fldCharType="end"/>
          </w:r>
          <w:r>
            <w:rPr>
              <w:rFonts w:hint="eastAsia" w:ascii="宋体" w:hAnsi="宋体" w:eastAsia="宋体" w:cs="宋体"/>
              <w:b w:val="0"/>
              <w:bCs/>
              <w:sz w:val="24"/>
              <w:szCs w:val="24"/>
            </w:rPr>
            <w:fldChar w:fldCharType="end"/>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b w:val="0"/>
              <w:bCs/>
              <w:sz w:val="24"/>
              <w:szCs w:val="24"/>
            </w:rPr>
          </w:pP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HYPERLINK \l _Toc29562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highlight w:val="none"/>
            </w:rPr>
            <w:t>五、一般公共预算财政拨款支出决算情况说明</w:t>
          </w:r>
          <w:r>
            <w:rPr>
              <w:rFonts w:hint="eastAsia" w:ascii="宋体" w:hAnsi="宋体" w:eastAsia="宋体" w:cs="宋体"/>
              <w:b w:val="0"/>
              <w:bCs/>
              <w:sz w:val="24"/>
              <w:szCs w:val="24"/>
            </w:rPr>
            <w:tab/>
          </w: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PAGEREF _Toc29562 \h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rPr>
            <w:t>8</w:t>
          </w:r>
          <w:r>
            <w:rPr>
              <w:rFonts w:hint="eastAsia" w:ascii="宋体" w:hAnsi="宋体" w:eastAsia="宋体" w:cs="宋体"/>
              <w:b w:val="0"/>
              <w:bCs/>
              <w:sz w:val="24"/>
              <w:szCs w:val="24"/>
            </w:rPr>
            <w:fldChar w:fldCharType="end"/>
          </w:r>
          <w:r>
            <w:rPr>
              <w:rFonts w:hint="eastAsia" w:ascii="宋体" w:hAnsi="宋体" w:eastAsia="宋体" w:cs="宋体"/>
              <w:b w:val="0"/>
              <w:bCs/>
              <w:sz w:val="24"/>
              <w:szCs w:val="24"/>
            </w:rPr>
            <w:fldChar w:fldCharType="end"/>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b w:val="0"/>
              <w:bCs/>
              <w:sz w:val="24"/>
              <w:szCs w:val="24"/>
            </w:rPr>
          </w:pP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HYPERLINK \l _Toc17470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highlight w:val="none"/>
            </w:rPr>
            <w:t>六、一般公共预算财政拨款基本支出决算情况说明</w:t>
          </w:r>
          <w:r>
            <w:rPr>
              <w:rFonts w:hint="eastAsia" w:ascii="宋体" w:hAnsi="宋体" w:eastAsia="宋体" w:cs="宋体"/>
              <w:b w:val="0"/>
              <w:bCs/>
              <w:sz w:val="24"/>
              <w:szCs w:val="24"/>
            </w:rPr>
            <w:tab/>
          </w: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PAGEREF _Toc17470 \h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rPr>
            <w:t>11</w:t>
          </w:r>
          <w:r>
            <w:rPr>
              <w:rFonts w:hint="eastAsia" w:ascii="宋体" w:hAnsi="宋体" w:eastAsia="宋体" w:cs="宋体"/>
              <w:b w:val="0"/>
              <w:bCs/>
              <w:sz w:val="24"/>
              <w:szCs w:val="24"/>
            </w:rPr>
            <w:fldChar w:fldCharType="end"/>
          </w:r>
          <w:r>
            <w:rPr>
              <w:rFonts w:hint="eastAsia" w:ascii="宋体" w:hAnsi="宋体" w:eastAsia="宋体" w:cs="宋体"/>
              <w:b w:val="0"/>
              <w:bCs/>
              <w:sz w:val="24"/>
              <w:szCs w:val="24"/>
            </w:rPr>
            <w:fldChar w:fldCharType="end"/>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b w:val="0"/>
              <w:bCs/>
              <w:sz w:val="24"/>
              <w:szCs w:val="24"/>
            </w:rPr>
          </w:pP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HYPERLINK \l _Toc5152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highlight w:val="none"/>
            </w:rPr>
            <w:t>七、财政拨款“三公”经费支出决算情况说明</w:t>
          </w:r>
          <w:r>
            <w:rPr>
              <w:rFonts w:hint="eastAsia" w:ascii="宋体" w:hAnsi="宋体" w:eastAsia="宋体" w:cs="宋体"/>
              <w:b w:val="0"/>
              <w:bCs/>
              <w:sz w:val="24"/>
              <w:szCs w:val="24"/>
            </w:rPr>
            <w:tab/>
          </w: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PAGEREF _Toc5152 \h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rPr>
            <w:t>11</w:t>
          </w:r>
          <w:r>
            <w:rPr>
              <w:rFonts w:hint="eastAsia" w:ascii="宋体" w:hAnsi="宋体" w:eastAsia="宋体" w:cs="宋体"/>
              <w:b w:val="0"/>
              <w:bCs/>
              <w:sz w:val="24"/>
              <w:szCs w:val="24"/>
            </w:rPr>
            <w:fldChar w:fldCharType="end"/>
          </w:r>
          <w:r>
            <w:rPr>
              <w:rFonts w:hint="eastAsia" w:ascii="宋体" w:hAnsi="宋体" w:eastAsia="宋体" w:cs="宋体"/>
              <w:b w:val="0"/>
              <w:bCs/>
              <w:sz w:val="24"/>
              <w:szCs w:val="24"/>
            </w:rPr>
            <w:fldChar w:fldCharType="end"/>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b w:val="0"/>
              <w:bCs/>
              <w:sz w:val="24"/>
              <w:szCs w:val="24"/>
            </w:rPr>
          </w:pP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HYPERLINK \l _Toc138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highlight w:val="none"/>
            </w:rPr>
            <w:t>八、政府性基金预算支出决算情况说明</w:t>
          </w:r>
          <w:r>
            <w:rPr>
              <w:rFonts w:hint="eastAsia" w:ascii="宋体" w:hAnsi="宋体" w:eastAsia="宋体" w:cs="宋体"/>
              <w:b w:val="0"/>
              <w:bCs/>
              <w:sz w:val="24"/>
              <w:szCs w:val="24"/>
            </w:rPr>
            <w:tab/>
          </w: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PAGEREF _Toc138 \h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rPr>
            <w:t>13</w:t>
          </w:r>
          <w:r>
            <w:rPr>
              <w:rFonts w:hint="eastAsia" w:ascii="宋体" w:hAnsi="宋体" w:eastAsia="宋体" w:cs="宋体"/>
              <w:b w:val="0"/>
              <w:bCs/>
              <w:sz w:val="24"/>
              <w:szCs w:val="24"/>
            </w:rPr>
            <w:fldChar w:fldCharType="end"/>
          </w:r>
          <w:r>
            <w:rPr>
              <w:rFonts w:hint="eastAsia" w:ascii="宋体" w:hAnsi="宋体" w:eastAsia="宋体" w:cs="宋体"/>
              <w:b w:val="0"/>
              <w:bCs/>
              <w:sz w:val="24"/>
              <w:szCs w:val="24"/>
            </w:rPr>
            <w:fldChar w:fldCharType="end"/>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b w:val="0"/>
              <w:bCs/>
              <w:sz w:val="24"/>
              <w:szCs w:val="24"/>
            </w:rPr>
          </w:pP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HYPERLINK \l _Toc20365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rPr>
            <w:t xml:space="preserve">九、 </w:t>
          </w:r>
          <w:r>
            <w:rPr>
              <w:rFonts w:hint="eastAsia" w:ascii="宋体" w:hAnsi="宋体" w:eastAsia="宋体" w:cs="宋体"/>
              <w:b w:val="0"/>
              <w:bCs/>
              <w:sz w:val="24"/>
              <w:szCs w:val="24"/>
              <w:highlight w:val="none"/>
            </w:rPr>
            <w:t>国有资本经营预算支出决算情况说明</w:t>
          </w:r>
          <w:r>
            <w:rPr>
              <w:rFonts w:hint="eastAsia" w:ascii="宋体" w:hAnsi="宋体" w:eastAsia="宋体" w:cs="宋体"/>
              <w:b w:val="0"/>
              <w:bCs/>
              <w:sz w:val="24"/>
              <w:szCs w:val="24"/>
            </w:rPr>
            <w:tab/>
          </w: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PAGEREF _Toc20365 \h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rPr>
            <w:t>13</w:t>
          </w:r>
          <w:r>
            <w:rPr>
              <w:rFonts w:hint="eastAsia" w:ascii="宋体" w:hAnsi="宋体" w:eastAsia="宋体" w:cs="宋体"/>
              <w:b w:val="0"/>
              <w:bCs/>
              <w:sz w:val="24"/>
              <w:szCs w:val="24"/>
            </w:rPr>
            <w:fldChar w:fldCharType="end"/>
          </w:r>
          <w:r>
            <w:rPr>
              <w:rFonts w:hint="eastAsia" w:ascii="宋体" w:hAnsi="宋体" w:eastAsia="宋体" w:cs="宋体"/>
              <w:b w:val="0"/>
              <w:bCs/>
              <w:sz w:val="24"/>
              <w:szCs w:val="24"/>
            </w:rPr>
            <w:fldChar w:fldCharType="end"/>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b w:val="0"/>
              <w:bCs/>
              <w:sz w:val="24"/>
              <w:szCs w:val="24"/>
            </w:rPr>
          </w:pP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HYPERLINK \l _Toc27759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rPr>
            <w:t xml:space="preserve">十、 </w:t>
          </w:r>
          <w:r>
            <w:rPr>
              <w:rFonts w:hint="eastAsia" w:ascii="宋体" w:hAnsi="宋体" w:eastAsia="宋体" w:cs="宋体"/>
              <w:b w:val="0"/>
              <w:bCs/>
              <w:sz w:val="24"/>
              <w:szCs w:val="24"/>
              <w:highlight w:val="none"/>
            </w:rPr>
            <w:t>其他重要事项的情况说明</w:t>
          </w:r>
          <w:r>
            <w:rPr>
              <w:rFonts w:hint="eastAsia" w:ascii="宋体" w:hAnsi="宋体" w:eastAsia="宋体" w:cs="宋体"/>
              <w:b w:val="0"/>
              <w:bCs/>
              <w:sz w:val="24"/>
              <w:szCs w:val="24"/>
            </w:rPr>
            <w:tab/>
          </w: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PAGEREF _Toc27759 \h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rPr>
            <w:t>13</w:t>
          </w:r>
          <w:r>
            <w:rPr>
              <w:rFonts w:hint="eastAsia" w:ascii="宋体" w:hAnsi="宋体" w:eastAsia="宋体" w:cs="宋体"/>
              <w:b w:val="0"/>
              <w:bCs/>
              <w:sz w:val="24"/>
              <w:szCs w:val="24"/>
            </w:rPr>
            <w:fldChar w:fldCharType="end"/>
          </w:r>
          <w:r>
            <w:rPr>
              <w:rFonts w:hint="eastAsia" w:ascii="宋体" w:hAnsi="宋体" w:eastAsia="宋体" w:cs="宋体"/>
              <w:b w:val="0"/>
              <w:bCs/>
              <w:sz w:val="24"/>
              <w:szCs w:val="24"/>
            </w:rPr>
            <w:fldChar w:fldCharType="end"/>
          </w:r>
        </w:p>
        <w:p>
          <w:pPr>
            <w:pStyle w:val="33"/>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仿宋" w:hAnsi="仿宋" w:eastAsia="仿宋" w:cs="仿宋"/>
              <w:b w:val="0"/>
              <w:bCs/>
              <w:sz w:val="24"/>
              <w:szCs w:val="24"/>
            </w:rPr>
          </w:pPr>
          <w:r>
            <w:rPr>
              <w:rFonts w:hint="eastAsia" w:ascii="仿宋" w:hAnsi="仿宋" w:eastAsia="仿宋" w:cs="仿宋"/>
              <w:b w:val="0"/>
              <w:bCs/>
              <w:sz w:val="24"/>
              <w:szCs w:val="24"/>
            </w:rPr>
            <w:fldChar w:fldCharType="begin"/>
          </w:r>
          <w:r>
            <w:rPr>
              <w:rFonts w:hint="eastAsia" w:ascii="仿宋" w:hAnsi="仿宋" w:eastAsia="仿宋" w:cs="仿宋"/>
              <w:b w:val="0"/>
              <w:bCs/>
              <w:sz w:val="24"/>
              <w:szCs w:val="24"/>
            </w:rPr>
            <w:instrText xml:space="preserve"> HYPERLINK \l _Toc25593 </w:instrText>
          </w:r>
          <w:r>
            <w:rPr>
              <w:rFonts w:hint="eastAsia" w:ascii="仿宋" w:hAnsi="仿宋" w:eastAsia="仿宋" w:cs="仿宋"/>
              <w:b w:val="0"/>
              <w:bCs/>
              <w:sz w:val="24"/>
              <w:szCs w:val="24"/>
            </w:rPr>
            <w:fldChar w:fldCharType="separate"/>
          </w:r>
          <w:r>
            <w:rPr>
              <w:rFonts w:hint="eastAsia" w:ascii="仿宋" w:hAnsi="仿宋" w:eastAsia="仿宋" w:cs="仿宋"/>
              <w:b w:val="0"/>
              <w:bCs/>
              <w:sz w:val="24"/>
              <w:szCs w:val="24"/>
            </w:rPr>
            <w:t>第三部分 名词解释</w:t>
          </w:r>
          <w:r>
            <w:rPr>
              <w:rFonts w:hint="eastAsia" w:ascii="仿宋" w:hAnsi="仿宋" w:eastAsia="仿宋" w:cs="仿宋"/>
              <w:b w:val="0"/>
              <w:bCs/>
              <w:sz w:val="24"/>
              <w:szCs w:val="24"/>
            </w:rPr>
            <w:tab/>
          </w:r>
          <w:r>
            <w:rPr>
              <w:rFonts w:hint="eastAsia" w:ascii="仿宋" w:hAnsi="仿宋" w:eastAsia="仿宋" w:cs="仿宋"/>
              <w:b w:val="0"/>
              <w:bCs/>
              <w:sz w:val="24"/>
              <w:szCs w:val="24"/>
            </w:rPr>
            <w:fldChar w:fldCharType="begin"/>
          </w:r>
          <w:r>
            <w:rPr>
              <w:rFonts w:hint="eastAsia" w:ascii="仿宋" w:hAnsi="仿宋" w:eastAsia="仿宋" w:cs="仿宋"/>
              <w:b w:val="0"/>
              <w:bCs/>
              <w:sz w:val="24"/>
              <w:szCs w:val="24"/>
            </w:rPr>
            <w:instrText xml:space="preserve"> PAGEREF _Toc25593 \h </w:instrText>
          </w:r>
          <w:r>
            <w:rPr>
              <w:rFonts w:hint="eastAsia" w:ascii="仿宋" w:hAnsi="仿宋" w:eastAsia="仿宋" w:cs="仿宋"/>
              <w:b w:val="0"/>
              <w:bCs/>
              <w:sz w:val="24"/>
              <w:szCs w:val="24"/>
            </w:rPr>
            <w:fldChar w:fldCharType="separate"/>
          </w:r>
          <w:r>
            <w:rPr>
              <w:rFonts w:hint="eastAsia" w:ascii="仿宋" w:hAnsi="仿宋" w:eastAsia="仿宋" w:cs="仿宋"/>
              <w:b w:val="0"/>
              <w:bCs/>
              <w:sz w:val="24"/>
              <w:szCs w:val="24"/>
            </w:rPr>
            <w:t>15</w:t>
          </w:r>
          <w:r>
            <w:rPr>
              <w:rFonts w:hint="eastAsia" w:ascii="仿宋" w:hAnsi="仿宋" w:eastAsia="仿宋" w:cs="仿宋"/>
              <w:b w:val="0"/>
              <w:bCs/>
              <w:sz w:val="24"/>
              <w:szCs w:val="24"/>
            </w:rPr>
            <w:fldChar w:fldCharType="end"/>
          </w:r>
          <w:r>
            <w:rPr>
              <w:rFonts w:hint="eastAsia" w:ascii="仿宋" w:hAnsi="仿宋" w:eastAsia="仿宋" w:cs="仿宋"/>
              <w:b w:val="0"/>
              <w:bCs/>
              <w:sz w:val="24"/>
              <w:szCs w:val="24"/>
            </w:rPr>
            <w:fldChar w:fldCharType="end"/>
          </w:r>
        </w:p>
        <w:p>
          <w:pPr>
            <w:pStyle w:val="33"/>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仿宋" w:hAnsi="仿宋" w:eastAsia="仿宋" w:cs="仿宋"/>
              <w:b w:val="0"/>
              <w:bCs/>
              <w:sz w:val="24"/>
              <w:szCs w:val="24"/>
            </w:rPr>
          </w:pPr>
          <w:r>
            <w:rPr>
              <w:rFonts w:hint="eastAsia" w:ascii="仿宋" w:hAnsi="仿宋" w:eastAsia="仿宋" w:cs="仿宋"/>
              <w:b w:val="0"/>
              <w:bCs/>
              <w:sz w:val="24"/>
              <w:szCs w:val="24"/>
            </w:rPr>
            <w:fldChar w:fldCharType="begin"/>
          </w:r>
          <w:r>
            <w:rPr>
              <w:rFonts w:hint="eastAsia" w:ascii="仿宋" w:hAnsi="仿宋" w:eastAsia="仿宋" w:cs="仿宋"/>
              <w:b w:val="0"/>
              <w:bCs/>
              <w:sz w:val="24"/>
              <w:szCs w:val="24"/>
            </w:rPr>
            <w:instrText xml:space="preserve"> HYPERLINK \l _Toc3831 </w:instrText>
          </w:r>
          <w:r>
            <w:rPr>
              <w:rFonts w:hint="eastAsia" w:ascii="仿宋" w:hAnsi="仿宋" w:eastAsia="仿宋" w:cs="仿宋"/>
              <w:b w:val="0"/>
              <w:bCs/>
              <w:sz w:val="24"/>
              <w:szCs w:val="24"/>
            </w:rPr>
            <w:fldChar w:fldCharType="separate"/>
          </w:r>
          <w:r>
            <w:rPr>
              <w:rFonts w:hint="eastAsia" w:ascii="仿宋" w:hAnsi="仿宋" w:eastAsia="仿宋" w:cs="仿宋"/>
              <w:b w:val="0"/>
              <w:bCs/>
              <w:sz w:val="24"/>
              <w:szCs w:val="24"/>
            </w:rPr>
            <w:t>第四部分 附件</w:t>
          </w:r>
          <w:r>
            <w:rPr>
              <w:rFonts w:hint="eastAsia" w:ascii="仿宋" w:hAnsi="仿宋" w:eastAsia="仿宋" w:cs="仿宋"/>
              <w:b w:val="0"/>
              <w:bCs/>
              <w:sz w:val="24"/>
              <w:szCs w:val="24"/>
            </w:rPr>
            <w:tab/>
          </w:r>
          <w:r>
            <w:rPr>
              <w:rFonts w:hint="eastAsia" w:ascii="仿宋" w:hAnsi="仿宋" w:eastAsia="仿宋" w:cs="仿宋"/>
              <w:b w:val="0"/>
              <w:bCs/>
              <w:sz w:val="24"/>
              <w:szCs w:val="24"/>
            </w:rPr>
            <w:fldChar w:fldCharType="begin"/>
          </w:r>
          <w:r>
            <w:rPr>
              <w:rFonts w:hint="eastAsia" w:ascii="仿宋" w:hAnsi="仿宋" w:eastAsia="仿宋" w:cs="仿宋"/>
              <w:b w:val="0"/>
              <w:bCs/>
              <w:sz w:val="24"/>
              <w:szCs w:val="24"/>
            </w:rPr>
            <w:instrText xml:space="preserve"> PAGEREF _Toc3831 \h </w:instrText>
          </w:r>
          <w:r>
            <w:rPr>
              <w:rFonts w:hint="eastAsia" w:ascii="仿宋" w:hAnsi="仿宋" w:eastAsia="仿宋" w:cs="仿宋"/>
              <w:b w:val="0"/>
              <w:bCs/>
              <w:sz w:val="24"/>
              <w:szCs w:val="24"/>
            </w:rPr>
            <w:fldChar w:fldCharType="separate"/>
          </w:r>
          <w:r>
            <w:rPr>
              <w:rFonts w:hint="eastAsia" w:ascii="仿宋" w:hAnsi="仿宋" w:eastAsia="仿宋" w:cs="仿宋"/>
              <w:b w:val="0"/>
              <w:bCs/>
              <w:sz w:val="24"/>
              <w:szCs w:val="24"/>
            </w:rPr>
            <w:t>17</w:t>
          </w:r>
          <w:r>
            <w:rPr>
              <w:rFonts w:hint="eastAsia" w:ascii="仿宋" w:hAnsi="仿宋" w:eastAsia="仿宋" w:cs="仿宋"/>
              <w:b w:val="0"/>
              <w:bCs/>
              <w:sz w:val="24"/>
              <w:szCs w:val="24"/>
            </w:rPr>
            <w:fldChar w:fldCharType="end"/>
          </w:r>
          <w:r>
            <w:rPr>
              <w:rFonts w:hint="eastAsia" w:ascii="仿宋" w:hAnsi="仿宋" w:eastAsia="仿宋" w:cs="仿宋"/>
              <w:b w:val="0"/>
              <w:bCs/>
              <w:sz w:val="24"/>
              <w:szCs w:val="24"/>
            </w:rPr>
            <w:fldChar w:fldCharType="end"/>
          </w:r>
        </w:p>
        <w:p>
          <w:pPr>
            <w:pStyle w:val="33"/>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仿宋" w:hAnsi="仿宋" w:eastAsia="仿宋" w:cs="仿宋"/>
              <w:b w:val="0"/>
              <w:bCs/>
              <w:sz w:val="24"/>
              <w:szCs w:val="24"/>
            </w:rPr>
          </w:pPr>
          <w:r>
            <w:rPr>
              <w:rFonts w:hint="eastAsia" w:ascii="仿宋" w:hAnsi="仿宋" w:eastAsia="仿宋" w:cs="仿宋"/>
              <w:b w:val="0"/>
              <w:bCs/>
              <w:sz w:val="24"/>
              <w:szCs w:val="24"/>
            </w:rPr>
            <w:fldChar w:fldCharType="begin"/>
          </w:r>
          <w:r>
            <w:rPr>
              <w:rFonts w:hint="eastAsia" w:ascii="仿宋" w:hAnsi="仿宋" w:eastAsia="仿宋" w:cs="仿宋"/>
              <w:b w:val="0"/>
              <w:bCs/>
              <w:sz w:val="24"/>
              <w:szCs w:val="24"/>
            </w:rPr>
            <w:instrText xml:space="preserve"> HYPERLINK \l _Toc32143 </w:instrText>
          </w:r>
          <w:r>
            <w:rPr>
              <w:rFonts w:hint="eastAsia" w:ascii="仿宋" w:hAnsi="仿宋" w:eastAsia="仿宋" w:cs="仿宋"/>
              <w:b w:val="0"/>
              <w:bCs/>
              <w:sz w:val="24"/>
              <w:szCs w:val="24"/>
            </w:rPr>
            <w:fldChar w:fldCharType="separate"/>
          </w:r>
          <w:r>
            <w:rPr>
              <w:rFonts w:hint="eastAsia" w:ascii="仿宋" w:hAnsi="仿宋" w:eastAsia="仿宋" w:cs="仿宋"/>
              <w:b w:val="0"/>
              <w:bCs/>
              <w:sz w:val="24"/>
              <w:szCs w:val="24"/>
            </w:rPr>
            <w:t>第五部分 附表</w:t>
          </w:r>
          <w:r>
            <w:rPr>
              <w:rFonts w:hint="eastAsia" w:ascii="仿宋" w:hAnsi="仿宋" w:eastAsia="仿宋" w:cs="仿宋"/>
              <w:b w:val="0"/>
              <w:bCs/>
              <w:sz w:val="24"/>
              <w:szCs w:val="24"/>
            </w:rPr>
            <w:tab/>
          </w:r>
          <w:r>
            <w:rPr>
              <w:rFonts w:hint="eastAsia" w:ascii="仿宋" w:hAnsi="仿宋" w:eastAsia="仿宋" w:cs="仿宋"/>
              <w:b w:val="0"/>
              <w:bCs/>
              <w:sz w:val="24"/>
              <w:szCs w:val="24"/>
            </w:rPr>
            <w:fldChar w:fldCharType="begin"/>
          </w:r>
          <w:r>
            <w:rPr>
              <w:rFonts w:hint="eastAsia" w:ascii="仿宋" w:hAnsi="仿宋" w:eastAsia="仿宋" w:cs="仿宋"/>
              <w:b w:val="0"/>
              <w:bCs/>
              <w:sz w:val="24"/>
              <w:szCs w:val="24"/>
            </w:rPr>
            <w:instrText xml:space="preserve"> PAGEREF _Toc32143 \h </w:instrText>
          </w:r>
          <w:r>
            <w:rPr>
              <w:rFonts w:hint="eastAsia" w:ascii="仿宋" w:hAnsi="仿宋" w:eastAsia="仿宋" w:cs="仿宋"/>
              <w:b w:val="0"/>
              <w:bCs/>
              <w:sz w:val="24"/>
              <w:szCs w:val="24"/>
            </w:rPr>
            <w:fldChar w:fldCharType="separate"/>
          </w:r>
          <w:r>
            <w:rPr>
              <w:rFonts w:hint="eastAsia" w:ascii="仿宋" w:hAnsi="仿宋" w:eastAsia="仿宋" w:cs="仿宋"/>
              <w:b w:val="0"/>
              <w:bCs/>
              <w:sz w:val="24"/>
              <w:szCs w:val="24"/>
            </w:rPr>
            <w:t>39</w:t>
          </w:r>
          <w:r>
            <w:rPr>
              <w:rFonts w:hint="eastAsia" w:ascii="仿宋" w:hAnsi="仿宋" w:eastAsia="仿宋" w:cs="仿宋"/>
              <w:b w:val="0"/>
              <w:bCs/>
              <w:sz w:val="24"/>
              <w:szCs w:val="24"/>
            </w:rPr>
            <w:fldChar w:fldCharType="end"/>
          </w:r>
          <w:r>
            <w:rPr>
              <w:rFonts w:hint="eastAsia" w:ascii="仿宋" w:hAnsi="仿宋" w:eastAsia="仿宋" w:cs="仿宋"/>
              <w:b w:val="0"/>
              <w:bCs/>
              <w:sz w:val="24"/>
              <w:szCs w:val="24"/>
            </w:rPr>
            <w:fldChar w:fldCharType="end"/>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b w:val="0"/>
              <w:bCs/>
              <w:sz w:val="24"/>
              <w:szCs w:val="24"/>
            </w:rPr>
          </w:pP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HYPERLINK \l _Toc19463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highlight w:val="none"/>
            </w:rPr>
            <w:t>一、收入支出决算总表</w:t>
          </w:r>
          <w:r>
            <w:rPr>
              <w:rFonts w:hint="eastAsia" w:ascii="宋体" w:hAnsi="宋体" w:eastAsia="宋体" w:cs="宋体"/>
              <w:b w:val="0"/>
              <w:bCs/>
              <w:sz w:val="24"/>
              <w:szCs w:val="24"/>
            </w:rPr>
            <w:tab/>
          </w: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PAGEREF _Toc19463 \h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rPr>
            <w:t>39</w:t>
          </w:r>
          <w:r>
            <w:rPr>
              <w:rFonts w:hint="eastAsia" w:ascii="宋体" w:hAnsi="宋体" w:eastAsia="宋体" w:cs="宋体"/>
              <w:b w:val="0"/>
              <w:bCs/>
              <w:sz w:val="24"/>
              <w:szCs w:val="24"/>
            </w:rPr>
            <w:fldChar w:fldCharType="end"/>
          </w:r>
          <w:r>
            <w:rPr>
              <w:rFonts w:hint="eastAsia" w:ascii="宋体" w:hAnsi="宋体" w:eastAsia="宋体" w:cs="宋体"/>
              <w:b w:val="0"/>
              <w:bCs/>
              <w:sz w:val="24"/>
              <w:szCs w:val="24"/>
            </w:rPr>
            <w:fldChar w:fldCharType="end"/>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b w:val="0"/>
              <w:bCs/>
              <w:sz w:val="24"/>
              <w:szCs w:val="24"/>
            </w:rPr>
          </w:pP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HYPERLINK \l _Toc8131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highlight w:val="none"/>
            </w:rPr>
            <w:t>二、收入决算表</w:t>
          </w:r>
          <w:r>
            <w:rPr>
              <w:rFonts w:hint="eastAsia" w:ascii="宋体" w:hAnsi="宋体" w:eastAsia="宋体" w:cs="宋体"/>
              <w:b w:val="0"/>
              <w:bCs/>
              <w:sz w:val="24"/>
              <w:szCs w:val="24"/>
            </w:rPr>
            <w:tab/>
          </w: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PAGEREF _Toc8131 \h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rPr>
            <w:t>39</w:t>
          </w:r>
          <w:r>
            <w:rPr>
              <w:rFonts w:hint="eastAsia" w:ascii="宋体" w:hAnsi="宋体" w:eastAsia="宋体" w:cs="宋体"/>
              <w:b w:val="0"/>
              <w:bCs/>
              <w:sz w:val="24"/>
              <w:szCs w:val="24"/>
            </w:rPr>
            <w:fldChar w:fldCharType="end"/>
          </w:r>
          <w:r>
            <w:rPr>
              <w:rFonts w:hint="eastAsia" w:ascii="宋体" w:hAnsi="宋体" w:eastAsia="宋体" w:cs="宋体"/>
              <w:b w:val="0"/>
              <w:bCs/>
              <w:sz w:val="24"/>
              <w:szCs w:val="24"/>
            </w:rPr>
            <w:fldChar w:fldCharType="end"/>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b w:val="0"/>
              <w:bCs/>
              <w:sz w:val="24"/>
              <w:szCs w:val="24"/>
            </w:rPr>
          </w:pP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HYPERLINK \l _Toc17810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highlight w:val="none"/>
            </w:rPr>
            <w:t>三、支出决算表</w:t>
          </w:r>
          <w:r>
            <w:rPr>
              <w:rFonts w:hint="eastAsia" w:ascii="宋体" w:hAnsi="宋体" w:eastAsia="宋体" w:cs="宋体"/>
              <w:b w:val="0"/>
              <w:bCs/>
              <w:sz w:val="24"/>
              <w:szCs w:val="24"/>
            </w:rPr>
            <w:tab/>
          </w: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PAGEREF _Toc17810 \h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rPr>
            <w:t>39</w:t>
          </w:r>
          <w:r>
            <w:rPr>
              <w:rFonts w:hint="eastAsia" w:ascii="宋体" w:hAnsi="宋体" w:eastAsia="宋体" w:cs="宋体"/>
              <w:b w:val="0"/>
              <w:bCs/>
              <w:sz w:val="24"/>
              <w:szCs w:val="24"/>
            </w:rPr>
            <w:fldChar w:fldCharType="end"/>
          </w:r>
          <w:r>
            <w:rPr>
              <w:rFonts w:hint="eastAsia" w:ascii="宋体" w:hAnsi="宋体" w:eastAsia="宋体" w:cs="宋体"/>
              <w:b w:val="0"/>
              <w:bCs/>
              <w:sz w:val="24"/>
              <w:szCs w:val="24"/>
            </w:rPr>
            <w:fldChar w:fldCharType="end"/>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b w:val="0"/>
              <w:bCs/>
              <w:sz w:val="24"/>
              <w:szCs w:val="24"/>
            </w:rPr>
          </w:pP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HYPERLINK \l _Toc5586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highlight w:val="none"/>
            </w:rPr>
            <w:t>四、财政拨款收入支出决算总表</w:t>
          </w:r>
          <w:r>
            <w:rPr>
              <w:rFonts w:hint="eastAsia" w:ascii="宋体" w:hAnsi="宋体" w:eastAsia="宋体" w:cs="宋体"/>
              <w:b w:val="0"/>
              <w:bCs/>
              <w:sz w:val="24"/>
              <w:szCs w:val="24"/>
            </w:rPr>
            <w:tab/>
          </w: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PAGEREF _Toc5586 \h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rPr>
            <w:t>39</w:t>
          </w:r>
          <w:r>
            <w:rPr>
              <w:rFonts w:hint="eastAsia" w:ascii="宋体" w:hAnsi="宋体" w:eastAsia="宋体" w:cs="宋体"/>
              <w:b w:val="0"/>
              <w:bCs/>
              <w:sz w:val="24"/>
              <w:szCs w:val="24"/>
            </w:rPr>
            <w:fldChar w:fldCharType="end"/>
          </w:r>
          <w:r>
            <w:rPr>
              <w:rFonts w:hint="eastAsia" w:ascii="宋体" w:hAnsi="宋体" w:eastAsia="宋体" w:cs="宋体"/>
              <w:b w:val="0"/>
              <w:bCs/>
              <w:sz w:val="24"/>
              <w:szCs w:val="24"/>
            </w:rPr>
            <w:fldChar w:fldCharType="end"/>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b w:val="0"/>
              <w:bCs/>
              <w:sz w:val="24"/>
              <w:szCs w:val="24"/>
            </w:rPr>
          </w:pP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HYPERLINK \l _Toc12799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highlight w:val="none"/>
            </w:rPr>
            <w:t>五、财政拨款支出决算明细表</w:t>
          </w:r>
          <w:r>
            <w:rPr>
              <w:rFonts w:hint="eastAsia" w:ascii="宋体" w:hAnsi="宋体" w:eastAsia="宋体" w:cs="宋体"/>
              <w:b w:val="0"/>
              <w:bCs/>
              <w:sz w:val="24"/>
              <w:szCs w:val="24"/>
            </w:rPr>
            <w:tab/>
          </w: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PAGEREF _Toc12799 \h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rPr>
            <w:t>39</w:t>
          </w:r>
          <w:r>
            <w:rPr>
              <w:rFonts w:hint="eastAsia" w:ascii="宋体" w:hAnsi="宋体" w:eastAsia="宋体" w:cs="宋体"/>
              <w:b w:val="0"/>
              <w:bCs/>
              <w:sz w:val="24"/>
              <w:szCs w:val="24"/>
            </w:rPr>
            <w:fldChar w:fldCharType="end"/>
          </w:r>
          <w:r>
            <w:rPr>
              <w:rFonts w:hint="eastAsia" w:ascii="宋体" w:hAnsi="宋体" w:eastAsia="宋体" w:cs="宋体"/>
              <w:b w:val="0"/>
              <w:bCs/>
              <w:sz w:val="24"/>
              <w:szCs w:val="24"/>
            </w:rPr>
            <w:fldChar w:fldCharType="end"/>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b w:val="0"/>
              <w:bCs/>
              <w:sz w:val="24"/>
              <w:szCs w:val="24"/>
            </w:rPr>
          </w:pP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HYPERLINK \l _Toc225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highlight w:val="none"/>
            </w:rPr>
            <w:t>六、一般公共预算财政拨款支出决算表</w:t>
          </w:r>
          <w:r>
            <w:rPr>
              <w:rFonts w:hint="eastAsia" w:ascii="宋体" w:hAnsi="宋体" w:eastAsia="宋体" w:cs="宋体"/>
              <w:b w:val="0"/>
              <w:bCs/>
              <w:sz w:val="24"/>
              <w:szCs w:val="24"/>
            </w:rPr>
            <w:tab/>
          </w: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PAGEREF _Toc225 \h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rPr>
            <w:t>39</w:t>
          </w:r>
          <w:r>
            <w:rPr>
              <w:rFonts w:hint="eastAsia" w:ascii="宋体" w:hAnsi="宋体" w:eastAsia="宋体" w:cs="宋体"/>
              <w:b w:val="0"/>
              <w:bCs/>
              <w:sz w:val="24"/>
              <w:szCs w:val="24"/>
            </w:rPr>
            <w:fldChar w:fldCharType="end"/>
          </w:r>
          <w:r>
            <w:rPr>
              <w:rFonts w:hint="eastAsia" w:ascii="宋体" w:hAnsi="宋体" w:eastAsia="宋体" w:cs="宋体"/>
              <w:b w:val="0"/>
              <w:bCs/>
              <w:sz w:val="24"/>
              <w:szCs w:val="24"/>
            </w:rPr>
            <w:fldChar w:fldCharType="end"/>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b w:val="0"/>
              <w:bCs/>
              <w:sz w:val="24"/>
              <w:szCs w:val="24"/>
            </w:rPr>
          </w:pP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HYPERLINK \l _Toc2926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highlight w:val="none"/>
            </w:rPr>
            <w:t>七、一般公共预算财政拨款支出决算明细表</w:t>
          </w:r>
          <w:r>
            <w:rPr>
              <w:rFonts w:hint="eastAsia" w:ascii="宋体" w:hAnsi="宋体" w:eastAsia="宋体" w:cs="宋体"/>
              <w:b w:val="0"/>
              <w:bCs/>
              <w:sz w:val="24"/>
              <w:szCs w:val="24"/>
            </w:rPr>
            <w:tab/>
          </w: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PAGEREF _Toc2926 \h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rPr>
            <w:t>39</w:t>
          </w:r>
          <w:r>
            <w:rPr>
              <w:rFonts w:hint="eastAsia" w:ascii="宋体" w:hAnsi="宋体" w:eastAsia="宋体" w:cs="宋体"/>
              <w:b w:val="0"/>
              <w:bCs/>
              <w:sz w:val="24"/>
              <w:szCs w:val="24"/>
            </w:rPr>
            <w:fldChar w:fldCharType="end"/>
          </w:r>
          <w:r>
            <w:rPr>
              <w:rFonts w:hint="eastAsia" w:ascii="宋体" w:hAnsi="宋体" w:eastAsia="宋体" w:cs="宋体"/>
              <w:b w:val="0"/>
              <w:bCs/>
              <w:sz w:val="24"/>
              <w:szCs w:val="24"/>
            </w:rPr>
            <w:fldChar w:fldCharType="end"/>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b w:val="0"/>
              <w:bCs/>
              <w:sz w:val="24"/>
              <w:szCs w:val="24"/>
            </w:rPr>
          </w:pP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HYPERLINK \l _Toc8669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highlight w:val="none"/>
            </w:rPr>
            <w:t>八、一般公共预算财政拨款基本支出决算表</w:t>
          </w:r>
          <w:r>
            <w:rPr>
              <w:rFonts w:hint="eastAsia" w:ascii="宋体" w:hAnsi="宋体" w:eastAsia="宋体" w:cs="宋体"/>
              <w:b w:val="0"/>
              <w:bCs/>
              <w:sz w:val="24"/>
              <w:szCs w:val="24"/>
            </w:rPr>
            <w:tab/>
          </w: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PAGEREF _Toc8669 \h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rPr>
            <w:t>39</w:t>
          </w:r>
          <w:r>
            <w:rPr>
              <w:rFonts w:hint="eastAsia" w:ascii="宋体" w:hAnsi="宋体" w:eastAsia="宋体" w:cs="宋体"/>
              <w:b w:val="0"/>
              <w:bCs/>
              <w:sz w:val="24"/>
              <w:szCs w:val="24"/>
            </w:rPr>
            <w:fldChar w:fldCharType="end"/>
          </w:r>
          <w:r>
            <w:rPr>
              <w:rFonts w:hint="eastAsia" w:ascii="宋体" w:hAnsi="宋体" w:eastAsia="宋体" w:cs="宋体"/>
              <w:b w:val="0"/>
              <w:bCs/>
              <w:sz w:val="24"/>
              <w:szCs w:val="24"/>
            </w:rPr>
            <w:fldChar w:fldCharType="end"/>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b w:val="0"/>
              <w:bCs/>
              <w:sz w:val="24"/>
              <w:szCs w:val="24"/>
            </w:rPr>
          </w:pP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HYPERLINK \l _Toc10557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highlight w:val="none"/>
            </w:rPr>
            <w:t>九、一般公共预算财政拨款项目支出决算表</w:t>
          </w:r>
          <w:r>
            <w:rPr>
              <w:rFonts w:hint="eastAsia" w:ascii="宋体" w:hAnsi="宋体" w:eastAsia="宋体" w:cs="宋体"/>
              <w:b w:val="0"/>
              <w:bCs/>
              <w:sz w:val="24"/>
              <w:szCs w:val="24"/>
            </w:rPr>
            <w:tab/>
          </w: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PAGEREF _Toc10557 \h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rPr>
            <w:t>39</w:t>
          </w:r>
          <w:r>
            <w:rPr>
              <w:rFonts w:hint="eastAsia" w:ascii="宋体" w:hAnsi="宋体" w:eastAsia="宋体" w:cs="宋体"/>
              <w:b w:val="0"/>
              <w:bCs/>
              <w:sz w:val="24"/>
              <w:szCs w:val="24"/>
            </w:rPr>
            <w:fldChar w:fldCharType="end"/>
          </w:r>
          <w:r>
            <w:rPr>
              <w:rFonts w:hint="eastAsia" w:ascii="宋体" w:hAnsi="宋体" w:eastAsia="宋体" w:cs="宋体"/>
              <w:b w:val="0"/>
              <w:bCs/>
              <w:sz w:val="24"/>
              <w:szCs w:val="24"/>
            </w:rPr>
            <w:fldChar w:fldCharType="end"/>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b w:val="0"/>
              <w:bCs/>
              <w:sz w:val="24"/>
              <w:szCs w:val="24"/>
            </w:rPr>
          </w:pP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HYPERLINK \l _Toc11335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highlight w:val="none"/>
            </w:rPr>
            <w:t>十、政府性基金预算财政拨款收入支出决算表</w:t>
          </w:r>
          <w:r>
            <w:rPr>
              <w:rFonts w:hint="eastAsia" w:ascii="宋体" w:hAnsi="宋体" w:eastAsia="宋体" w:cs="宋体"/>
              <w:b w:val="0"/>
              <w:bCs/>
              <w:sz w:val="24"/>
              <w:szCs w:val="24"/>
            </w:rPr>
            <w:tab/>
          </w: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PAGEREF _Toc11335 \h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rPr>
            <w:t>39</w:t>
          </w:r>
          <w:r>
            <w:rPr>
              <w:rFonts w:hint="eastAsia" w:ascii="宋体" w:hAnsi="宋体" w:eastAsia="宋体" w:cs="宋体"/>
              <w:b w:val="0"/>
              <w:bCs/>
              <w:sz w:val="24"/>
              <w:szCs w:val="24"/>
            </w:rPr>
            <w:fldChar w:fldCharType="end"/>
          </w:r>
          <w:r>
            <w:rPr>
              <w:rFonts w:hint="eastAsia" w:ascii="宋体" w:hAnsi="宋体" w:eastAsia="宋体" w:cs="宋体"/>
              <w:b w:val="0"/>
              <w:bCs/>
              <w:sz w:val="24"/>
              <w:szCs w:val="24"/>
            </w:rPr>
            <w:fldChar w:fldCharType="end"/>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b w:val="0"/>
              <w:bCs/>
              <w:sz w:val="24"/>
              <w:szCs w:val="24"/>
            </w:rPr>
          </w:pP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HYPERLINK \l _Toc11290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highlight w:val="none"/>
            </w:rPr>
            <w:t>十一、国有资本经营预算</w:t>
          </w:r>
          <w:r>
            <w:rPr>
              <w:rFonts w:hint="eastAsia" w:ascii="宋体" w:hAnsi="宋体" w:eastAsia="宋体" w:cs="宋体"/>
              <w:b w:val="0"/>
              <w:bCs/>
              <w:sz w:val="24"/>
              <w:szCs w:val="24"/>
              <w:highlight w:val="none"/>
              <w:lang w:eastAsia="zh-CN"/>
            </w:rPr>
            <w:t>财政拨款收入</w:t>
          </w:r>
          <w:r>
            <w:rPr>
              <w:rFonts w:hint="eastAsia" w:ascii="宋体" w:hAnsi="宋体" w:eastAsia="宋体" w:cs="宋体"/>
              <w:b w:val="0"/>
              <w:bCs/>
              <w:sz w:val="24"/>
              <w:szCs w:val="24"/>
              <w:highlight w:val="none"/>
            </w:rPr>
            <w:t>支出决算表</w:t>
          </w:r>
          <w:r>
            <w:rPr>
              <w:rFonts w:hint="eastAsia" w:ascii="宋体" w:hAnsi="宋体" w:eastAsia="宋体" w:cs="宋体"/>
              <w:b w:val="0"/>
              <w:bCs/>
              <w:sz w:val="24"/>
              <w:szCs w:val="24"/>
            </w:rPr>
            <w:tab/>
          </w: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PAGEREF _Toc11290 \h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rPr>
            <w:t>39</w:t>
          </w:r>
          <w:r>
            <w:rPr>
              <w:rFonts w:hint="eastAsia" w:ascii="宋体" w:hAnsi="宋体" w:eastAsia="宋体" w:cs="宋体"/>
              <w:b w:val="0"/>
              <w:bCs/>
              <w:sz w:val="24"/>
              <w:szCs w:val="24"/>
            </w:rPr>
            <w:fldChar w:fldCharType="end"/>
          </w:r>
          <w:r>
            <w:rPr>
              <w:rFonts w:hint="eastAsia" w:ascii="宋体" w:hAnsi="宋体" w:eastAsia="宋体" w:cs="宋体"/>
              <w:b w:val="0"/>
              <w:bCs/>
              <w:sz w:val="24"/>
              <w:szCs w:val="24"/>
            </w:rPr>
            <w:fldChar w:fldCharType="end"/>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b w:val="0"/>
              <w:bCs/>
              <w:sz w:val="24"/>
              <w:szCs w:val="24"/>
            </w:rPr>
          </w:pP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HYPERLINK \l _Toc21629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highlight w:val="none"/>
            </w:rPr>
            <w:t>十二、</w:t>
          </w:r>
          <w:r>
            <w:rPr>
              <w:rFonts w:hint="eastAsia" w:ascii="宋体" w:hAnsi="宋体" w:eastAsia="宋体" w:cs="宋体"/>
              <w:b w:val="0"/>
              <w:bCs/>
              <w:sz w:val="24"/>
              <w:szCs w:val="24"/>
              <w:highlight w:val="none"/>
              <w:lang w:eastAsia="zh-CN"/>
            </w:rPr>
            <w:t>国有资本经营预算财政拨款支出决算表</w:t>
          </w:r>
          <w:r>
            <w:rPr>
              <w:rFonts w:hint="eastAsia" w:ascii="宋体" w:hAnsi="宋体" w:eastAsia="宋体" w:cs="宋体"/>
              <w:b w:val="0"/>
              <w:bCs/>
              <w:sz w:val="24"/>
              <w:szCs w:val="24"/>
            </w:rPr>
            <w:tab/>
          </w: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PAGEREF _Toc21629 \h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rPr>
            <w:t>39</w:t>
          </w:r>
          <w:r>
            <w:rPr>
              <w:rFonts w:hint="eastAsia" w:ascii="宋体" w:hAnsi="宋体" w:eastAsia="宋体" w:cs="宋体"/>
              <w:b w:val="0"/>
              <w:bCs/>
              <w:sz w:val="24"/>
              <w:szCs w:val="24"/>
            </w:rPr>
            <w:fldChar w:fldCharType="end"/>
          </w:r>
          <w:r>
            <w:rPr>
              <w:rFonts w:hint="eastAsia" w:ascii="宋体" w:hAnsi="宋体" w:eastAsia="宋体" w:cs="宋体"/>
              <w:b w:val="0"/>
              <w:bCs/>
              <w:sz w:val="24"/>
              <w:szCs w:val="24"/>
            </w:rPr>
            <w:fldChar w:fldCharType="end"/>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HYPERLINK \l _Toc23469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highlight w:val="none"/>
            </w:rPr>
            <w:t>十三、</w:t>
          </w:r>
          <w:r>
            <w:rPr>
              <w:rFonts w:hint="eastAsia" w:ascii="宋体" w:hAnsi="宋体" w:eastAsia="宋体" w:cs="宋体"/>
              <w:b w:val="0"/>
              <w:bCs/>
              <w:sz w:val="24"/>
              <w:szCs w:val="24"/>
              <w:highlight w:val="none"/>
              <w:lang w:eastAsia="zh-CN"/>
            </w:rPr>
            <w:t>财政拨款“三公”经费支出决算表</w:t>
          </w:r>
          <w:r>
            <w:rPr>
              <w:rFonts w:hint="eastAsia" w:ascii="宋体" w:hAnsi="宋体" w:eastAsia="宋体" w:cs="宋体"/>
              <w:b w:val="0"/>
              <w:bCs/>
              <w:sz w:val="24"/>
              <w:szCs w:val="24"/>
            </w:rPr>
            <w:tab/>
          </w:r>
          <w:r>
            <w:rPr>
              <w:rFonts w:hint="eastAsia" w:ascii="宋体" w:hAnsi="宋体" w:eastAsia="宋体" w:cs="宋体"/>
              <w:b w:val="0"/>
              <w:bCs/>
              <w:sz w:val="24"/>
              <w:szCs w:val="24"/>
            </w:rPr>
            <w:fldChar w:fldCharType="begin"/>
          </w:r>
          <w:r>
            <w:rPr>
              <w:rFonts w:hint="eastAsia" w:ascii="宋体" w:hAnsi="宋体" w:eastAsia="宋体" w:cs="宋体"/>
              <w:b w:val="0"/>
              <w:bCs/>
              <w:sz w:val="24"/>
              <w:szCs w:val="24"/>
            </w:rPr>
            <w:instrText xml:space="preserve"> PAGEREF _Toc23469 \h </w:instrText>
          </w:r>
          <w:r>
            <w:rPr>
              <w:rFonts w:hint="eastAsia" w:ascii="宋体" w:hAnsi="宋体" w:eastAsia="宋体" w:cs="宋体"/>
              <w:b w:val="0"/>
              <w:bCs/>
              <w:sz w:val="24"/>
              <w:szCs w:val="24"/>
            </w:rPr>
            <w:fldChar w:fldCharType="separate"/>
          </w:r>
          <w:r>
            <w:rPr>
              <w:rFonts w:hint="eastAsia" w:ascii="宋体" w:hAnsi="宋体" w:eastAsia="宋体" w:cs="宋体"/>
              <w:b w:val="0"/>
              <w:bCs/>
              <w:sz w:val="24"/>
              <w:szCs w:val="24"/>
            </w:rPr>
            <w:t>39</w:t>
          </w:r>
          <w:r>
            <w:rPr>
              <w:rFonts w:hint="eastAsia" w:ascii="宋体" w:hAnsi="宋体" w:eastAsia="宋体" w:cs="宋体"/>
              <w:b w:val="0"/>
              <w:bCs/>
              <w:sz w:val="24"/>
              <w:szCs w:val="24"/>
            </w:rPr>
            <w:fldChar w:fldCharType="end"/>
          </w:r>
          <w:r>
            <w:rPr>
              <w:rFonts w:hint="eastAsia" w:ascii="宋体" w:hAnsi="宋体" w:eastAsia="宋体" w:cs="宋体"/>
              <w:b w:val="0"/>
              <w:bCs/>
              <w:sz w:val="24"/>
              <w:szCs w:val="24"/>
            </w:rPr>
            <w:fldChar w:fldCharType="end"/>
          </w:r>
        </w:p>
        <w:p>
          <w:pPr>
            <w:rPr>
              <w:rFonts w:hint="eastAsia" w:ascii="宋体" w:hAnsi="宋体" w:eastAsia="宋体" w:cs="宋体"/>
              <w:sz w:val="24"/>
              <w:szCs w:val="24"/>
            </w:rPr>
          </w:pPr>
          <w:r>
            <w:rPr>
              <w:rFonts w:hint="eastAsia" w:ascii="宋体" w:hAnsi="宋体" w:eastAsia="宋体" w:cs="宋体"/>
              <w:b/>
              <w:sz w:val="24"/>
              <w:szCs w:val="24"/>
            </w:rPr>
            <w:fldChar w:fldCharType="end"/>
          </w:r>
        </w:p>
      </w:sdtContent>
    </w:sdt>
    <w:p>
      <w:pPr>
        <w:widowControl/>
        <w:spacing w:line="440" w:lineRule="exact"/>
        <w:jc w:val="left"/>
        <w:rPr>
          <w:rFonts w:ascii="仿宋" w:hAnsi="仿宋" w:eastAsia="仿宋"/>
          <w:bCs/>
          <w:color w:val="auto"/>
          <w:kern w:val="44"/>
          <w:sz w:val="24"/>
          <w:highlight w:val="none"/>
        </w:rPr>
      </w:pPr>
      <w:r>
        <w:rPr>
          <w:rFonts w:ascii="仿宋" w:hAnsi="仿宋" w:eastAsia="仿宋"/>
          <w:b/>
          <w:color w:val="auto"/>
          <w:sz w:val="24"/>
          <w:highlight w:val="none"/>
        </w:rPr>
        <w:br w:type="page"/>
      </w:r>
    </w:p>
    <w:p>
      <w:pPr>
        <w:pStyle w:val="4"/>
        <w:jc w:val="center"/>
        <w:rPr>
          <w:rFonts w:ascii="黑体" w:eastAsia="黑体"/>
          <w:color w:val="auto"/>
          <w:sz w:val="32"/>
          <w:szCs w:val="32"/>
          <w:highlight w:val="none"/>
        </w:rPr>
      </w:pPr>
      <w:bookmarkStart w:id="11" w:name="_Toc12587"/>
      <w:r>
        <w:rPr>
          <w:rFonts w:hint="eastAsia" w:ascii="黑体" w:hAnsi="黑体" w:eastAsia="黑体"/>
          <w:b w:val="0"/>
          <w:color w:val="auto"/>
          <w:highlight w:val="none"/>
        </w:rPr>
        <w:t xml:space="preserve">第一部分 </w:t>
      </w:r>
      <w:r>
        <w:rPr>
          <w:rFonts w:hint="eastAsia" w:ascii="黑体" w:hAnsi="黑体" w:eastAsia="黑体"/>
          <w:b w:val="0"/>
          <w:color w:val="auto"/>
          <w:highlight w:val="none"/>
          <w:lang w:eastAsia="zh-CN"/>
        </w:rPr>
        <w:t>单位</w:t>
      </w:r>
      <w:r>
        <w:rPr>
          <w:rStyle w:val="26"/>
          <w:rFonts w:hint="eastAsia" w:ascii="黑体" w:hAnsi="黑体" w:eastAsia="黑体"/>
          <w:b w:val="0"/>
          <w:bCs w:val="0"/>
          <w:color w:val="auto"/>
          <w:highlight w:val="none"/>
        </w:rPr>
        <w:t>概况</w:t>
      </w:r>
      <w:bookmarkEnd w:id="9"/>
      <w:bookmarkEnd w:id="10"/>
      <w:bookmarkEnd w:id="11"/>
    </w:p>
    <w:p>
      <w:pPr>
        <w:pStyle w:val="5"/>
        <w:numPr>
          <w:ilvl w:val="0"/>
          <w:numId w:val="1"/>
        </w:numPr>
        <w:rPr>
          <w:rStyle w:val="27"/>
          <w:rFonts w:hint="eastAsia" w:ascii="黑体" w:hAnsi="黑体" w:eastAsia="黑体"/>
          <w:b w:val="0"/>
          <w:bCs w:val="0"/>
          <w:color w:val="auto"/>
          <w:highlight w:val="none"/>
          <w:lang w:eastAsia="zh-CN"/>
        </w:rPr>
      </w:pPr>
      <w:bookmarkStart w:id="12" w:name="_Toc18936"/>
      <w:bookmarkStart w:id="13" w:name="_Toc15396600"/>
      <w:bookmarkStart w:id="14" w:name="_Toc15377197"/>
      <w:r>
        <w:rPr>
          <w:rStyle w:val="27"/>
          <w:rFonts w:hint="eastAsia" w:ascii="黑体" w:hAnsi="黑体" w:eastAsia="黑体"/>
          <w:b w:val="0"/>
          <w:bCs w:val="0"/>
          <w:color w:val="auto"/>
          <w:highlight w:val="none"/>
          <w:lang w:eastAsia="zh-CN"/>
        </w:rPr>
        <w:t>主要职责</w:t>
      </w:r>
      <w:bookmarkEnd w:id="12"/>
    </w:p>
    <w:p>
      <w:pPr>
        <w:spacing w:line="600" w:lineRule="exact"/>
        <w:ind w:firstLine="640" w:firstLineChars="200"/>
        <w:rPr>
          <w:rFonts w:hint="eastAsia" w:ascii="仿宋" w:hAnsi="仿宋" w:eastAsia="仿宋"/>
          <w:color w:val="auto"/>
          <w:sz w:val="32"/>
          <w:szCs w:val="32"/>
          <w:highlight w:val="none"/>
          <w:lang w:val="en-US" w:eastAsia="zh-CN"/>
        </w:rPr>
      </w:pPr>
      <w:r>
        <w:rPr>
          <w:rFonts w:hint="eastAsia" w:ascii="仿宋" w:hAnsi="仿宋" w:eastAsia="仿宋"/>
          <w:color w:val="auto"/>
          <w:sz w:val="32"/>
          <w:szCs w:val="32"/>
          <w:highlight w:val="none"/>
          <w:lang w:val="en-US" w:eastAsia="zh-CN"/>
        </w:rPr>
        <w:t>市公共资源交易信息中心是经市委、市政府批准设立的公益一类事业单位，直属市政务服务和公共资源交易中心，主要职责：（1）.贯彻实施公共资源交易相关法律、法规和政策，为公共资源交易活动提供场所、设施和服务。（2）.制定公共资源交易现场管理规章制度、工作流程并组织实施，指导全市公共资源交易活动现场和管理工作。（3）.承担全市工程建设招投标现场服务和管理工作，负责政府采购活动现场服务和管理工作，负责国有产权、特许经营权出（转）让等现场服务和管理工作，负责国有土地、矿业权出（转）让提供交易服务。（4）.承担市公共资源交易中心信息技术平台建设和管理，按照有关规定发布场内交易信息，为交易各方提供交易资讯、鉴证等服务。（5）.查验进场交易项目相关手续和参与交易活动各方主体资格。（6）.建立公共资源交易从业者场内信誉评价制度，协助有关部门建立公共资源交易信用评价体系。（7）.负责项目交易现场监督管理工作，记录、制止和纠正违反交易现场管理制度的行为，接受有关咨询、投诉，并按职责分工及时处理。（8）.承办市政府交办的其他事项。</w:t>
      </w:r>
    </w:p>
    <w:p>
      <w:pPr>
        <w:pStyle w:val="5"/>
        <w:numPr>
          <w:ilvl w:val="0"/>
          <w:numId w:val="0"/>
        </w:numPr>
        <w:rPr>
          <w:rFonts w:hint="eastAsia" w:ascii="黑体" w:hAnsi="黑体" w:eastAsia="黑体"/>
          <w:b w:val="0"/>
          <w:color w:val="auto"/>
          <w:highlight w:val="none"/>
          <w:lang w:val="en-US" w:eastAsia="zh-CN"/>
        </w:rPr>
      </w:pPr>
      <w:bookmarkStart w:id="15" w:name="_Toc31586"/>
      <w:r>
        <w:rPr>
          <w:rFonts w:hint="eastAsia" w:ascii="黑体" w:hAnsi="黑体" w:eastAsia="黑体"/>
          <w:b w:val="0"/>
          <w:color w:val="auto"/>
          <w:highlight w:val="none"/>
          <w:lang w:val="en-US" w:eastAsia="zh-CN"/>
        </w:rPr>
        <w:t>二、机构设置</w:t>
      </w:r>
      <w:bookmarkEnd w:id="15"/>
    </w:p>
    <w:p>
      <w:pPr>
        <w:spacing w:line="600" w:lineRule="exact"/>
        <w:ind w:firstLine="640" w:firstLineChars="200"/>
        <w:rPr>
          <w:rFonts w:hint="eastAsia" w:ascii="仿宋" w:hAnsi="仿宋" w:eastAsia="仿宋"/>
          <w:color w:val="auto"/>
          <w:sz w:val="32"/>
          <w:szCs w:val="32"/>
          <w:highlight w:val="none"/>
          <w:lang w:val="en-US" w:eastAsia="zh-CN"/>
        </w:rPr>
      </w:pPr>
      <w:r>
        <w:rPr>
          <w:rFonts w:hint="eastAsia" w:ascii="仿宋" w:hAnsi="仿宋" w:eastAsia="仿宋"/>
          <w:color w:val="auto"/>
          <w:sz w:val="32"/>
          <w:szCs w:val="32"/>
          <w:highlight w:val="none"/>
          <w:lang w:val="en-US" w:eastAsia="zh-CN"/>
        </w:rPr>
        <w:t>市公共资源交易信息中心是经市委、市政府批准设立的公益一类事业单位，直属市政务服务和公共资源交易中心，下设综合科、交易受理科、交易组织科、交易评审科、现场监督科、热线受理科、热线督办科、信息技术科、保证金管理科9个科室，现有事业编制数25名。</w:t>
      </w:r>
    </w:p>
    <w:p>
      <w:pPr>
        <w:pStyle w:val="2"/>
        <w:rPr>
          <w:rFonts w:hint="eastAsia" w:ascii="宋体" w:hAnsi="宋体" w:eastAsia="宋体" w:cs="宋体"/>
          <w:sz w:val="30"/>
          <w:szCs w:val="30"/>
          <w:lang w:val="en-US" w:eastAsia="zh-CN"/>
        </w:rPr>
      </w:pPr>
    </w:p>
    <w:p>
      <w:pPr>
        <w:pStyle w:val="3"/>
        <w:rPr>
          <w:rFonts w:hint="eastAsia" w:ascii="宋体" w:hAnsi="宋体" w:eastAsia="宋体" w:cs="宋体"/>
          <w:sz w:val="30"/>
          <w:szCs w:val="30"/>
          <w:lang w:val="en-US" w:eastAsia="zh-CN"/>
        </w:rPr>
      </w:pPr>
    </w:p>
    <w:p>
      <w:pPr>
        <w:rPr>
          <w:rFonts w:hint="eastAsia" w:ascii="宋体" w:hAnsi="宋体" w:eastAsia="宋体" w:cs="宋体"/>
          <w:sz w:val="30"/>
          <w:szCs w:val="30"/>
          <w:lang w:val="en-US" w:eastAsia="zh-CN"/>
        </w:rPr>
      </w:pPr>
    </w:p>
    <w:p>
      <w:pPr>
        <w:pStyle w:val="2"/>
        <w:rPr>
          <w:rFonts w:hint="eastAsia" w:ascii="宋体" w:hAnsi="宋体" w:eastAsia="宋体" w:cs="宋体"/>
          <w:sz w:val="30"/>
          <w:szCs w:val="30"/>
          <w:lang w:val="en-US" w:eastAsia="zh-CN"/>
        </w:rPr>
      </w:pPr>
    </w:p>
    <w:p>
      <w:pPr>
        <w:pStyle w:val="3"/>
        <w:rPr>
          <w:rFonts w:hint="eastAsia" w:ascii="宋体" w:hAnsi="宋体" w:eastAsia="宋体" w:cs="宋体"/>
          <w:sz w:val="30"/>
          <w:szCs w:val="30"/>
          <w:lang w:val="en-US" w:eastAsia="zh-CN"/>
        </w:rPr>
      </w:pPr>
    </w:p>
    <w:p>
      <w:pPr>
        <w:rPr>
          <w:rFonts w:hint="eastAsia" w:ascii="宋体" w:hAnsi="宋体" w:eastAsia="宋体" w:cs="宋体"/>
          <w:sz w:val="30"/>
          <w:szCs w:val="30"/>
          <w:lang w:val="en-US" w:eastAsia="zh-CN"/>
        </w:rPr>
      </w:pPr>
    </w:p>
    <w:p>
      <w:pPr>
        <w:pStyle w:val="2"/>
        <w:rPr>
          <w:rFonts w:hint="eastAsia" w:ascii="宋体" w:hAnsi="宋体" w:eastAsia="宋体" w:cs="宋体"/>
          <w:sz w:val="30"/>
          <w:szCs w:val="30"/>
          <w:lang w:val="en-US" w:eastAsia="zh-CN"/>
        </w:rPr>
      </w:pPr>
    </w:p>
    <w:p>
      <w:pPr>
        <w:pStyle w:val="3"/>
        <w:rPr>
          <w:rFonts w:hint="eastAsia" w:ascii="宋体" w:hAnsi="宋体" w:eastAsia="宋体" w:cs="宋体"/>
          <w:sz w:val="30"/>
          <w:szCs w:val="30"/>
          <w:lang w:val="en-US" w:eastAsia="zh-CN"/>
        </w:rPr>
      </w:pPr>
    </w:p>
    <w:p>
      <w:pPr>
        <w:rPr>
          <w:rFonts w:hint="eastAsia" w:ascii="宋体" w:hAnsi="宋体" w:eastAsia="宋体" w:cs="宋体"/>
          <w:sz w:val="30"/>
          <w:szCs w:val="30"/>
          <w:lang w:val="en-US" w:eastAsia="zh-CN"/>
        </w:rPr>
      </w:pPr>
    </w:p>
    <w:p>
      <w:pPr>
        <w:pStyle w:val="2"/>
        <w:rPr>
          <w:rFonts w:hint="eastAsia" w:ascii="宋体" w:hAnsi="宋体" w:eastAsia="宋体" w:cs="宋体"/>
          <w:sz w:val="30"/>
          <w:szCs w:val="30"/>
          <w:lang w:val="en-US" w:eastAsia="zh-CN"/>
        </w:rPr>
      </w:pPr>
    </w:p>
    <w:p>
      <w:pPr>
        <w:pStyle w:val="3"/>
        <w:rPr>
          <w:rFonts w:hint="eastAsia" w:ascii="宋体" w:hAnsi="宋体" w:eastAsia="宋体" w:cs="宋体"/>
          <w:sz w:val="30"/>
          <w:szCs w:val="30"/>
          <w:lang w:val="en-US" w:eastAsia="zh-CN"/>
        </w:rPr>
      </w:pPr>
    </w:p>
    <w:p>
      <w:pPr>
        <w:rPr>
          <w:rFonts w:hint="eastAsia" w:ascii="宋体" w:hAnsi="宋体" w:eastAsia="宋体" w:cs="宋体"/>
          <w:sz w:val="30"/>
          <w:szCs w:val="30"/>
          <w:lang w:val="en-US" w:eastAsia="zh-CN"/>
        </w:rPr>
      </w:pPr>
    </w:p>
    <w:p>
      <w:pPr>
        <w:pStyle w:val="2"/>
        <w:rPr>
          <w:rFonts w:hint="eastAsia"/>
          <w:lang w:val="en-US" w:eastAsia="zh-CN"/>
        </w:rPr>
      </w:pPr>
    </w:p>
    <w:bookmarkEnd w:id="13"/>
    <w:bookmarkEnd w:id="14"/>
    <w:p>
      <w:pPr>
        <w:pStyle w:val="4"/>
        <w:ind w:right="440" w:firstLine="440" w:firstLineChars="100"/>
        <w:jc w:val="both"/>
        <w:rPr>
          <w:rStyle w:val="26"/>
          <w:rFonts w:ascii="黑体" w:hAnsi="黑体" w:eastAsia="黑体"/>
          <w:b w:val="0"/>
          <w:bCs/>
          <w:color w:val="auto"/>
          <w:highlight w:val="none"/>
        </w:rPr>
      </w:pPr>
      <w:bookmarkStart w:id="16" w:name="_Toc15377204"/>
      <w:bookmarkStart w:id="17" w:name="_Toc21282"/>
      <w:bookmarkStart w:id="18" w:name="_Toc15396602"/>
      <w:r>
        <w:rPr>
          <w:rFonts w:hint="eastAsia" w:ascii="黑体" w:hAnsi="黑体" w:eastAsia="黑体"/>
          <w:b w:val="0"/>
          <w:bCs/>
          <w:color w:val="auto"/>
          <w:highlight w:val="none"/>
        </w:rPr>
        <w:t xml:space="preserve">第二部分 </w:t>
      </w:r>
      <w:r>
        <w:rPr>
          <w:rFonts w:hint="eastAsia" w:ascii="黑体" w:hAnsi="黑体" w:eastAsia="黑体"/>
          <w:b w:val="0"/>
          <w:bCs/>
          <w:color w:val="auto"/>
          <w:highlight w:val="none"/>
          <w:lang w:val="en-US" w:eastAsia="zh-CN"/>
        </w:rPr>
        <w:t>2022年度</w:t>
      </w:r>
      <w:r>
        <w:rPr>
          <w:rStyle w:val="26"/>
          <w:rFonts w:hint="eastAsia" w:ascii="黑体" w:hAnsi="黑体" w:eastAsia="黑体"/>
          <w:b w:val="0"/>
          <w:bCs/>
          <w:color w:val="auto"/>
          <w:highlight w:val="none"/>
          <w:lang w:eastAsia="zh-CN"/>
        </w:rPr>
        <w:t>单位</w:t>
      </w:r>
      <w:r>
        <w:rPr>
          <w:rStyle w:val="26"/>
          <w:rFonts w:hint="eastAsia" w:ascii="黑体" w:hAnsi="黑体" w:eastAsia="黑体"/>
          <w:b w:val="0"/>
          <w:bCs/>
          <w:color w:val="auto"/>
          <w:highlight w:val="none"/>
        </w:rPr>
        <w:t>决算情况说明</w:t>
      </w:r>
      <w:bookmarkEnd w:id="16"/>
      <w:bookmarkEnd w:id="17"/>
      <w:bookmarkEnd w:id="18"/>
    </w:p>
    <w:p>
      <w:pPr>
        <w:rPr>
          <w:color w:val="auto"/>
          <w:highlight w:val="none"/>
        </w:rPr>
      </w:pPr>
    </w:p>
    <w:p>
      <w:pPr>
        <w:pStyle w:val="25"/>
        <w:numPr>
          <w:ilvl w:val="0"/>
          <w:numId w:val="2"/>
        </w:numPr>
        <w:spacing w:line="600" w:lineRule="exact"/>
        <w:ind w:firstLineChars="0"/>
        <w:outlineLvl w:val="1"/>
        <w:rPr>
          <w:rStyle w:val="27"/>
          <w:rFonts w:ascii="黑体" w:hAnsi="黑体" w:eastAsia="黑体"/>
          <w:b w:val="0"/>
          <w:color w:val="auto"/>
          <w:highlight w:val="none"/>
        </w:rPr>
      </w:pPr>
      <w:bookmarkStart w:id="19" w:name="_Toc10652"/>
      <w:bookmarkStart w:id="20" w:name="_Toc15377205"/>
      <w:bookmarkStart w:id="21" w:name="_Toc15396603"/>
      <w:r>
        <w:rPr>
          <w:rFonts w:hint="eastAsia" w:ascii="黑体" w:hAnsi="黑体" w:eastAsia="黑体"/>
          <w:color w:val="auto"/>
          <w:sz w:val="32"/>
          <w:szCs w:val="32"/>
          <w:highlight w:val="none"/>
        </w:rPr>
        <w:t>收</w:t>
      </w:r>
      <w:r>
        <w:rPr>
          <w:rStyle w:val="27"/>
          <w:rFonts w:hint="eastAsia" w:ascii="黑体" w:hAnsi="黑体" w:eastAsia="黑体"/>
          <w:b w:val="0"/>
          <w:color w:val="auto"/>
          <w:highlight w:val="none"/>
        </w:rPr>
        <w:t>入支出决算总体情况说明</w:t>
      </w:r>
      <w:bookmarkEnd w:id="19"/>
      <w:bookmarkEnd w:id="20"/>
      <w:bookmarkEnd w:id="21"/>
    </w:p>
    <w:p>
      <w:pPr>
        <w:spacing w:line="600" w:lineRule="exact"/>
        <w:ind w:firstLine="640" w:firstLineChars="200"/>
        <w:rPr>
          <w:rFonts w:hint="eastAsia" w:ascii="仿宋" w:hAnsi="仿宋" w:eastAsia="仿宋"/>
          <w:color w:val="auto"/>
          <w:sz w:val="32"/>
          <w:szCs w:val="32"/>
          <w:highlight w:val="none"/>
          <w:lang w:eastAsia="zh-CN"/>
        </w:rPr>
      </w:pPr>
      <w:r>
        <w:rPr>
          <w:rFonts w:hint="eastAsia" w:ascii="仿宋" w:hAnsi="仿宋" w:eastAsia="仿宋"/>
          <w:color w:val="auto"/>
          <w:sz w:val="32"/>
          <w:szCs w:val="32"/>
          <w:highlight w:val="none"/>
        </w:rPr>
        <w:t>20</w:t>
      </w:r>
      <w:r>
        <w:rPr>
          <w:rFonts w:hint="eastAsia" w:ascii="仿宋" w:hAnsi="仿宋" w:eastAsia="仿宋"/>
          <w:color w:val="auto"/>
          <w:sz w:val="32"/>
          <w:szCs w:val="32"/>
          <w:highlight w:val="none"/>
          <w:lang w:val="en-US" w:eastAsia="zh-CN"/>
        </w:rPr>
        <w:t>22</w:t>
      </w:r>
      <w:r>
        <w:rPr>
          <w:rFonts w:hint="eastAsia" w:ascii="仿宋" w:hAnsi="仿宋" w:eastAsia="仿宋"/>
          <w:color w:val="auto"/>
          <w:sz w:val="32"/>
          <w:szCs w:val="32"/>
          <w:highlight w:val="none"/>
        </w:rPr>
        <w:t>年度收、支总计</w:t>
      </w:r>
      <w:r>
        <w:rPr>
          <w:rFonts w:hint="eastAsia" w:ascii="仿宋" w:hAnsi="仿宋" w:eastAsia="仿宋"/>
          <w:color w:val="auto"/>
          <w:sz w:val="32"/>
          <w:szCs w:val="32"/>
          <w:highlight w:val="none"/>
          <w:lang w:val="en-US" w:eastAsia="zh-CN"/>
        </w:rPr>
        <w:t>472.28</w:t>
      </w:r>
      <w:r>
        <w:rPr>
          <w:rFonts w:hint="eastAsia" w:ascii="仿宋" w:hAnsi="仿宋" w:eastAsia="仿宋"/>
          <w:color w:val="auto"/>
          <w:sz w:val="32"/>
          <w:szCs w:val="32"/>
          <w:highlight w:val="none"/>
        </w:rPr>
        <w:t>万元。与20</w:t>
      </w:r>
      <w:r>
        <w:rPr>
          <w:rFonts w:hint="eastAsia" w:ascii="仿宋" w:hAnsi="仿宋" w:eastAsia="仿宋"/>
          <w:color w:val="auto"/>
          <w:sz w:val="32"/>
          <w:szCs w:val="32"/>
          <w:highlight w:val="none"/>
          <w:lang w:val="en-US" w:eastAsia="zh-CN"/>
        </w:rPr>
        <w:t>21</w:t>
      </w:r>
      <w:r>
        <w:rPr>
          <w:rFonts w:hint="eastAsia" w:ascii="仿宋" w:hAnsi="仿宋" w:eastAsia="仿宋"/>
          <w:color w:val="auto"/>
          <w:sz w:val="32"/>
          <w:szCs w:val="32"/>
          <w:highlight w:val="none"/>
        </w:rPr>
        <w:t>年相比，收、支总计各增加</w:t>
      </w:r>
      <w:r>
        <w:rPr>
          <w:rFonts w:hint="eastAsia" w:ascii="仿宋" w:hAnsi="仿宋" w:eastAsia="仿宋"/>
          <w:color w:val="auto"/>
          <w:sz w:val="32"/>
          <w:szCs w:val="32"/>
          <w:highlight w:val="none"/>
          <w:lang w:val="en-US" w:eastAsia="zh-CN"/>
        </w:rPr>
        <w:t>21.97</w:t>
      </w:r>
      <w:r>
        <w:rPr>
          <w:rFonts w:hint="eastAsia" w:ascii="仿宋" w:hAnsi="仿宋" w:eastAsia="仿宋"/>
          <w:color w:val="auto"/>
          <w:sz w:val="32"/>
          <w:szCs w:val="32"/>
          <w:highlight w:val="none"/>
        </w:rPr>
        <w:t>万元，增长</w:t>
      </w:r>
      <w:r>
        <w:rPr>
          <w:rFonts w:hint="eastAsia" w:ascii="仿宋" w:hAnsi="仿宋" w:eastAsia="仿宋"/>
          <w:color w:val="auto"/>
          <w:sz w:val="32"/>
          <w:szCs w:val="32"/>
          <w:highlight w:val="none"/>
          <w:lang w:val="en-US" w:eastAsia="zh-CN"/>
        </w:rPr>
        <w:t>4.88</w:t>
      </w:r>
      <w:r>
        <w:rPr>
          <w:rFonts w:ascii="仿宋" w:hAnsi="仿宋" w:eastAsia="仿宋"/>
          <w:color w:val="auto"/>
          <w:sz w:val="32"/>
          <w:szCs w:val="32"/>
          <w:highlight w:val="none"/>
        </w:rPr>
        <w:t>%</w:t>
      </w:r>
      <w:r>
        <w:rPr>
          <w:rFonts w:hint="eastAsia" w:ascii="仿宋" w:hAnsi="仿宋" w:eastAsia="仿宋"/>
          <w:color w:val="auto"/>
          <w:sz w:val="32"/>
          <w:szCs w:val="32"/>
          <w:highlight w:val="none"/>
        </w:rPr>
        <w:t>。主要变动原因是</w:t>
      </w:r>
      <w:r>
        <w:rPr>
          <w:rFonts w:hint="eastAsia" w:ascii="仿宋" w:hAnsi="仿宋" w:eastAsia="仿宋"/>
          <w:color w:val="auto"/>
          <w:sz w:val="32"/>
          <w:szCs w:val="32"/>
          <w:highlight w:val="none"/>
          <w:lang w:eastAsia="zh-CN"/>
        </w:rPr>
        <w:t>增加了</w:t>
      </w:r>
      <w:r>
        <w:rPr>
          <w:rFonts w:hint="eastAsia" w:ascii="仿宋" w:hAnsi="仿宋" w:eastAsia="仿宋"/>
          <w:color w:val="auto"/>
          <w:sz w:val="32"/>
          <w:szCs w:val="32"/>
          <w:highlight w:val="none"/>
          <w:lang w:val="en-US" w:eastAsia="zh-CN"/>
        </w:rPr>
        <w:t>1</w:t>
      </w:r>
      <w:r>
        <w:rPr>
          <w:rFonts w:hint="eastAsia" w:ascii="仿宋" w:hAnsi="仿宋" w:eastAsia="仿宋"/>
          <w:color w:val="auto"/>
          <w:sz w:val="32"/>
          <w:szCs w:val="32"/>
          <w:highlight w:val="none"/>
          <w:lang w:eastAsia="zh-CN"/>
        </w:rPr>
        <w:t>名在职人员及</w:t>
      </w:r>
      <w:r>
        <w:rPr>
          <w:rFonts w:hint="eastAsia" w:ascii="仿宋" w:hAnsi="仿宋" w:eastAsia="仿宋"/>
          <w:color w:val="auto"/>
          <w:sz w:val="32"/>
          <w:szCs w:val="32"/>
          <w:highlight w:val="none"/>
        </w:rPr>
        <w:t>在编在职人员</w:t>
      </w:r>
      <w:r>
        <w:rPr>
          <w:rFonts w:hint="eastAsia" w:ascii="仿宋" w:hAnsi="仿宋" w:eastAsia="仿宋"/>
          <w:color w:val="auto"/>
          <w:sz w:val="32"/>
          <w:szCs w:val="32"/>
          <w:highlight w:val="none"/>
          <w:lang w:eastAsia="zh-CN"/>
        </w:rPr>
        <w:t>基础</w:t>
      </w:r>
      <w:r>
        <w:rPr>
          <w:rFonts w:hint="eastAsia" w:ascii="仿宋" w:hAnsi="仿宋" w:eastAsia="仿宋"/>
          <w:color w:val="auto"/>
          <w:sz w:val="32"/>
          <w:szCs w:val="32"/>
          <w:highlight w:val="none"/>
        </w:rPr>
        <w:t>绩效奖</w:t>
      </w:r>
      <w:r>
        <w:rPr>
          <w:rFonts w:hint="eastAsia" w:ascii="仿宋" w:hAnsi="仿宋" w:eastAsia="仿宋"/>
          <w:color w:val="auto"/>
          <w:sz w:val="32"/>
          <w:szCs w:val="32"/>
          <w:highlight w:val="none"/>
          <w:lang w:eastAsia="zh-CN"/>
        </w:rPr>
        <w:t>增加。</w:t>
      </w:r>
    </w:p>
    <w:p>
      <w:pPr>
        <w:pStyle w:val="2"/>
        <w:rPr>
          <w:rFonts w:hint="eastAsia" w:eastAsia="仿宋"/>
          <w:lang w:eastAsia="zh-CN"/>
        </w:rPr>
      </w:pPr>
      <w:r>
        <w:rPr>
          <w:rFonts w:hint="eastAsia" w:eastAsia="仿宋"/>
          <w:lang w:eastAsia="zh-CN"/>
        </w:rPr>
        <w:drawing>
          <wp:inline distT="0" distB="0" distL="114300" distR="114300">
            <wp:extent cx="5256530" cy="3244215"/>
            <wp:effectExtent l="4445" t="4445" r="15875" b="8890"/>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bookmarkStart w:id="98" w:name="_GoBack"/>
      <w:bookmarkEnd w:id="98"/>
    </w:p>
    <w:p>
      <w:pPr>
        <w:spacing w:line="600" w:lineRule="exact"/>
        <w:ind w:firstLine="640" w:firstLineChars="200"/>
        <w:rPr>
          <w:rFonts w:ascii="仿宋_GB2312" w:eastAsia="仿宋_GB2312"/>
          <w:color w:val="auto"/>
          <w:sz w:val="32"/>
          <w:szCs w:val="32"/>
          <w:highlight w:val="none"/>
        </w:rPr>
      </w:pPr>
      <w:r>
        <w:rPr>
          <w:rFonts w:hint="eastAsia" w:ascii="仿宋" w:hAnsi="仿宋" w:eastAsia="仿宋"/>
          <w:color w:val="auto"/>
          <w:sz w:val="32"/>
          <w:szCs w:val="32"/>
          <w:highlight w:val="none"/>
        </w:rPr>
        <w:t>（图</w:t>
      </w:r>
      <w:r>
        <w:rPr>
          <w:rFonts w:ascii="仿宋" w:hAnsi="仿宋" w:eastAsia="仿宋"/>
          <w:color w:val="auto"/>
          <w:sz w:val="32"/>
          <w:szCs w:val="32"/>
          <w:highlight w:val="none"/>
        </w:rPr>
        <w:t>1</w:t>
      </w:r>
      <w:r>
        <w:rPr>
          <w:rFonts w:hint="eastAsia" w:ascii="仿宋" w:hAnsi="仿宋" w:eastAsia="仿宋"/>
          <w:color w:val="auto"/>
          <w:sz w:val="32"/>
          <w:szCs w:val="32"/>
          <w:highlight w:val="none"/>
        </w:rPr>
        <w:t>：收、支决算总计变动情况图）（柱状图）</w:t>
      </w:r>
    </w:p>
    <w:p>
      <w:pPr>
        <w:pStyle w:val="25"/>
        <w:numPr>
          <w:ilvl w:val="0"/>
          <w:numId w:val="2"/>
        </w:numPr>
        <w:spacing w:line="600" w:lineRule="exact"/>
        <w:ind w:firstLineChars="0"/>
        <w:outlineLvl w:val="1"/>
        <w:rPr>
          <w:rStyle w:val="27"/>
          <w:rFonts w:ascii="黑体" w:hAnsi="黑体" w:eastAsia="黑体"/>
          <w:b w:val="0"/>
          <w:color w:val="auto"/>
          <w:highlight w:val="none"/>
        </w:rPr>
      </w:pPr>
      <w:bookmarkStart w:id="22" w:name="_Toc15377206"/>
      <w:bookmarkStart w:id="23" w:name="_Toc26607"/>
      <w:bookmarkStart w:id="24" w:name="_Toc15396604"/>
      <w:r>
        <w:rPr>
          <w:rFonts w:hint="eastAsia" w:ascii="黑体" w:hAnsi="黑体" w:eastAsia="黑体"/>
          <w:color w:val="auto"/>
          <w:sz w:val="32"/>
          <w:szCs w:val="32"/>
          <w:highlight w:val="none"/>
        </w:rPr>
        <w:t>收</w:t>
      </w:r>
      <w:r>
        <w:rPr>
          <w:rStyle w:val="27"/>
          <w:rFonts w:hint="eastAsia" w:ascii="黑体" w:hAnsi="黑体" w:eastAsia="黑体"/>
          <w:b w:val="0"/>
          <w:color w:val="auto"/>
          <w:highlight w:val="none"/>
        </w:rPr>
        <w:t>入决算情况说明</w:t>
      </w:r>
      <w:bookmarkEnd w:id="22"/>
      <w:bookmarkEnd w:id="23"/>
      <w:bookmarkEnd w:id="24"/>
    </w:p>
    <w:p>
      <w:pPr>
        <w:spacing w:line="600" w:lineRule="exact"/>
        <w:ind w:firstLine="640" w:firstLineChars="200"/>
        <w:outlineLvl w:val="1"/>
        <w:rPr>
          <w:rFonts w:ascii="仿宋" w:hAnsi="仿宋" w:eastAsia="仿宋"/>
          <w:color w:val="auto"/>
          <w:sz w:val="32"/>
          <w:szCs w:val="32"/>
          <w:highlight w:val="none"/>
        </w:rPr>
      </w:pPr>
      <w:bookmarkStart w:id="25" w:name="_Toc5857"/>
      <w:r>
        <w:rPr>
          <w:rFonts w:ascii="仿宋" w:hAnsi="仿宋" w:eastAsia="仿宋"/>
          <w:color w:val="auto"/>
          <w:sz w:val="32"/>
          <w:szCs w:val="32"/>
          <w:highlight w:val="none"/>
        </w:rPr>
        <w:t>20</w:t>
      </w:r>
      <w:r>
        <w:rPr>
          <w:rFonts w:hint="eastAsia" w:ascii="仿宋" w:hAnsi="仿宋" w:eastAsia="仿宋"/>
          <w:color w:val="auto"/>
          <w:sz w:val="32"/>
          <w:szCs w:val="32"/>
          <w:highlight w:val="none"/>
          <w:lang w:val="en-US" w:eastAsia="zh-CN"/>
        </w:rPr>
        <w:t>22</w:t>
      </w:r>
      <w:r>
        <w:rPr>
          <w:rFonts w:hint="eastAsia" w:ascii="仿宋" w:hAnsi="仿宋" w:eastAsia="仿宋"/>
          <w:color w:val="auto"/>
          <w:sz w:val="32"/>
          <w:szCs w:val="32"/>
          <w:highlight w:val="none"/>
        </w:rPr>
        <w:t>年本年收入合计</w:t>
      </w:r>
      <w:r>
        <w:rPr>
          <w:rFonts w:hint="eastAsia" w:ascii="仿宋" w:hAnsi="仿宋" w:eastAsia="仿宋"/>
          <w:color w:val="auto"/>
          <w:sz w:val="32"/>
          <w:szCs w:val="32"/>
          <w:highlight w:val="none"/>
          <w:lang w:val="en-US" w:eastAsia="zh-CN"/>
        </w:rPr>
        <w:t>450.11</w:t>
      </w:r>
      <w:r>
        <w:rPr>
          <w:rFonts w:hint="eastAsia" w:ascii="仿宋" w:hAnsi="仿宋" w:eastAsia="仿宋"/>
          <w:color w:val="auto"/>
          <w:sz w:val="32"/>
          <w:szCs w:val="32"/>
          <w:highlight w:val="none"/>
        </w:rPr>
        <w:t>万元，其中：一般公共预算财政拨款收入</w:t>
      </w:r>
      <w:r>
        <w:rPr>
          <w:rFonts w:hint="eastAsia" w:ascii="仿宋" w:hAnsi="仿宋" w:eastAsia="仿宋"/>
          <w:color w:val="auto"/>
          <w:sz w:val="32"/>
          <w:szCs w:val="32"/>
          <w:highlight w:val="none"/>
          <w:lang w:val="en-US" w:eastAsia="zh-CN"/>
        </w:rPr>
        <w:t>450.11</w:t>
      </w:r>
      <w:r>
        <w:rPr>
          <w:rFonts w:hint="eastAsia" w:ascii="仿宋" w:hAnsi="仿宋" w:eastAsia="仿宋"/>
          <w:color w:val="auto"/>
          <w:sz w:val="32"/>
          <w:szCs w:val="32"/>
          <w:highlight w:val="none"/>
        </w:rPr>
        <w:t>万元，占</w:t>
      </w:r>
      <w:r>
        <w:rPr>
          <w:rFonts w:hint="eastAsia" w:ascii="仿宋" w:hAnsi="仿宋" w:eastAsia="仿宋"/>
          <w:color w:val="auto"/>
          <w:sz w:val="32"/>
          <w:szCs w:val="32"/>
          <w:highlight w:val="none"/>
          <w:lang w:val="en-US" w:eastAsia="zh-CN"/>
        </w:rPr>
        <w:t>100</w:t>
      </w:r>
      <w:r>
        <w:rPr>
          <w:rFonts w:ascii="仿宋" w:hAnsi="仿宋" w:eastAsia="仿宋"/>
          <w:color w:val="auto"/>
          <w:sz w:val="32"/>
          <w:szCs w:val="32"/>
          <w:highlight w:val="none"/>
        </w:rPr>
        <w:t>%</w:t>
      </w:r>
      <w:r>
        <w:rPr>
          <w:rFonts w:hint="eastAsia" w:ascii="仿宋" w:hAnsi="仿宋" w:eastAsia="仿宋"/>
          <w:color w:val="auto"/>
          <w:sz w:val="32"/>
          <w:szCs w:val="32"/>
          <w:highlight w:val="none"/>
          <w:lang w:eastAsia="zh-CN"/>
        </w:rPr>
        <w:t>。</w:t>
      </w:r>
      <w:bookmarkEnd w:id="25"/>
    </w:p>
    <w:p>
      <w:pPr>
        <w:pStyle w:val="2"/>
        <w:rPr>
          <w:rFonts w:hint="eastAsia" w:eastAsia="仿宋"/>
          <w:lang w:eastAsia="zh-CN"/>
        </w:rPr>
      </w:pPr>
      <w:r>
        <w:rPr>
          <w:rFonts w:hint="eastAsia" w:eastAsia="仿宋"/>
          <w:lang w:eastAsia="zh-CN"/>
        </w:rPr>
        <w:drawing>
          <wp:inline distT="0" distB="0" distL="114300" distR="114300">
            <wp:extent cx="5256530" cy="2988310"/>
            <wp:effectExtent l="5080" t="4445" r="15240" b="17145"/>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spacing w:line="600" w:lineRule="exact"/>
        <w:ind w:firstLine="640" w:firstLineChars="200"/>
        <w:rPr>
          <w:rFonts w:hint="eastAsia" w:ascii="仿宋" w:hAnsi="仿宋" w:eastAsia="仿宋"/>
          <w:color w:val="auto"/>
          <w:sz w:val="32"/>
          <w:szCs w:val="32"/>
          <w:highlight w:val="none"/>
        </w:rPr>
      </w:pPr>
      <w:r>
        <w:rPr>
          <w:rFonts w:hint="eastAsia" w:ascii="仿宋" w:hAnsi="仿宋" w:eastAsia="仿宋"/>
          <w:color w:val="auto"/>
          <w:sz w:val="32"/>
          <w:szCs w:val="32"/>
          <w:highlight w:val="none"/>
        </w:rPr>
        <w:t>（图2：收入决算结构图）（饼状图）</w:t>
      </w:r>
    </w:p>
    <w:p>
      <w:pPr>
        <w:spacing w:line="600" w:lineRule="exact"/>
        <w:ind w:firstLine="640" w:firstLineChars="200"/>
        <w:rPr>
          <w:rFonts w:ascii="仿宋_GB2312" w:eastAsia="仿宋_GB2312"/>
          <w:color w:val="auto"/>
          <w:sz w:val="32"/>
          <w:szCs w:val="32"/>
          <w:highlight w:val="none"/>
        </w:rPr>
      </w:pPr>
    </w:p>
    <w:p>
      <w:pPr>
        <w:pStyle w:val="25"/>
        <w:numPr>
          <w:ilvl w:val="0"/>
          <w:numId w:val="2"/>
        </w:numPr>
        <w:spacing w:line="600" w:lineRule="exact"/>
        <w:ind w:firstLineChars="0"/>
        <w:outlineLvl w:val="1"/>
        <w:rPr>
          <w:rStyle w:val="27"/>
          <w:rFonts w:ascii="黑体" w:hAnsi="黑体" w:eastAsia="黑体"/>
          <w:b w:val="0"/>
          <w:color w:val="auto"/>
          <w:highlight w:val="none"/>
        </w:rPr>
      </w:pPr>
      <w:bookmarkStart w:id="26" w:name="_Toc32443"/>
      <w:bookmarkStart w:id="27" w:name="_Toc15396605"/>
      <w:bookmarkStart w:id="28" w:name="_Toc15377207"/>
      <w:r>
        <w:rPr>
          <w:rFonts w:hint="eastAsia" w:ascii="黑体" w:hAnsi="黑体" w:eastAsia="黑体"/>
          <w:color w:val="auto"/>
          <w:sz w:val="32"/>
          <w:szCs w:val="32"/>
          <w:highlight w:val="none"/>
        </w:rPr>
        <w:t>支</w:t>
      </w:r>
      <w:r>
        <w:rPr>
          <w:rStyle w:val="27"/>
          <w:rFonts w:hint="eastAsia" w:ascii="黑体" w:hAnsi="黑体" w:eastAsia="黑体"/>
          <w:b w:val="0"/>
          <w:color w:val="auto"/>
          <w:highlight w:val="none"/>
        </w:rPr>
        <w:t>出决算情况说明</w:t>
      </w:r>
      <w:bookmarkEnd w:id="26"/>
      <w:bookmarkEnd w:id="27"/>
      <w:bookmarkEnd w:id="28"/>
    </w:p>
    <w:p>
      <w:pPr>
        <w:spacing w:line="600" w:lineRule="exact"/>
        <w:ind w:firstLine="640" w:firstLineChars="200"/>
        <w:outlineLvl w:val="1"/>
        <w:rPr>
          <w:rFonts w:ascii="仿宋" w:hAnsi="仿宋" w:eastAsia="仿宋"/>
          <w:color w:val="auto"/>
          <w:sz w:val="32"/>
          <w:szCs w:val="32"/>
          <w:highlight w:val="none"/>
          <w:shd w:val="pct10" w:color="auto" w:fill="FFFFFF"/>
        </w:rPr>
      </w:pPr>
      <w:bookmarkStart w:id="29" w:name="_Toc4550"/>
      <w:r>
        <w:rPr>
          <w:rFonts w:ascii="仿宋" w:hAnsi="仿宋" w:eastAsia="仿宋"/>
          <w:color w:val="auto"/>
          <w:sz w:val="32"/>
          <w:szCs w:val="32"/>
          <w:highlight w:val="none"/>
        </w:rPr>
        <w:t>20</w:t>
      </w:r>
      <w:r>
        <w:rPr>
          <w:rFonts w:hint="eastAsia" w:ascii="仿宋" w:hAnsi="仿宋" w:eastAsia="仿宋"/>
          <w:color w:val="auto"/>
          <w:sz w:val="32"/>
          <w:szCs w:val="32"/>
          <w:highlight w:val="none"/>
          <w:lang w:val="en-US" w:eastAsia="zh-CN"/>
        </w:rPr>
        <w:t>22</w:t>
      </w:r>
      <w:r>
        <w:rPr>
          <w:rFonts w:hint="eastAsia" w:ascii="仿宋" w:hAnsi="仿宋" w:eastAsia="仿宋"/>
          <w:color w:val="auto"/>
          <w:sz w:val="32"/>
          <w:szCs w:val="32"/>
          <w:highlight w:val="none"/>
        </w:rPr>
        <w:t>年本年支出合计</w:t>
      </w:r>
      <w:r>
        <w:rPr>
          <w:rFonts w:hint="eastAsia" w:ascii="仿宋" w:hAnsi="仿宋" w:eastAsia="仿宋"/>
          <w:color w:val="auto"/>
          <w:sz w:val="32"/>
          <w:szCs w:val="32"/>
          <w:highlight w:val="none"/>
          <w:lang w:val="en-US" w:eastAsia="zh-CN"/>
        </w:rPr>
        <w:t>463.70</w:t>
      </w:r>
      <w:r>
        <w:rPr>
          <w:rFonts w:hint="eastAsia" w:ascii="仿宋" w:hAnsi="仿宋" w:eastAsia="仿宋"/>
          <w:color w:val="auto"/>
          <w:sz w:val="32"/>
          <w:szCs w:val="32"/>
          <w:highlight w:val="none"/>
        </w:rPr>
        <w:t>万元，其中：基本支出</w:t>
      </w:r>
      <w:r>
        <w:rPr>
          <w:rFonts w:hint="eastAsia" w:ascii="仿宋" w:hAnsi="仿宋" w:eastAsia="仿宋"/>
          <w:color w:val="auto"/>
          <w:sz w:val="32"/>
          <w:szCs w:val="32"/>
          <w:highlight w:val="none"/>
          <w:lang w:val="en-US" w:eastAsia="zh-CN"/>
        </w:rPr>
        <w:t>342.06</w:t>
      </w:r>
      <w:r>
        <w:rPr>
          <w:rFonts w:hint="eastAsia" w:ascii="仿宋" w:hAnsi="仿宋" w:eastAsia="仿宋"/>
          <w:color w:val="auto"/>
          <w:sz w:val="32"/>
          <w:szCs w:val="32"/>
          <w:highlight w:val="none"/>
        </w:rPr>
        <w:t>万元，占</w:t>
      </w:r>
      <w:r>
        <w:rPr>
          <w:rFonts w:hint="eastAsia" w:ascii="仿宋" w:hAnsi="仿宋" w:eastAsia="仿宋"/>
          <w:color w:val="auto"/>
          <w:sz w:val="32"/>
          <w:szCs w:val="32"/>
          <w:highlight w:val="none"/>
          <w:lang w:val="en-US" w:eastAsia="zh-CN"/>
        </w:rPr>
        <w:t>73.77</w:t>
      </w:r>
      <w:r>
        <w:rPr>
          <w:rFonts w:ascii="仿宋" w:hAnsi="仿宋" w:eastAsia="仿宋"/>
          <w:color w:val="auto"/>
          <w:sz w:val="32"/>
          <w:szCs w:val="32"/>
          <w:highlight w:val="none"/>
        </w:rPr>
        <w:t>%</w:t>
      </w:r>
      <w:r>
        <w:rPr>
          <w:rFonts w:hint="eastAsia" w:ascii="仿宋" w:hAnsi="仿宋" w:eastAsia="仿宋"/>
          <w:color w:val="auto"/>
          <w:sz w:val="32"/>
          <w:szCs w:val="32"/>
          <w:highlight w:val="none"/>
        </w:rPr>
        <w:t>；项目支出</w:t>
      </w:r>
      <w:r>
        <w:rPr>
          <w:rFonts w:hint="eastAsia" w:ascii="仿宋" w:hAnsi="仿宋" w:eastAsia="仿宋"/>
          <w:color w:val="auto"/>
          <w:sz w:val="32"/>
          <w:szCs w:val="32"/>
          <w:highlight w:val="none"/>
          <w:lang w:val="en-US" w:eastAsia="zh-CN"/>
        </w:rPr>
        <w:t>121.64</w:t>
      </w:r>
      <w:r>
        <w:rPr>
          <w:rFonts w:hint="eastAsia" w:ascii="仿宋" w:hAnsi="仿宋" w:eastAsia="仿宋"/>
          <w:color w:val="auto"/>
          <w:sz w:val="32"/>
          <w:szCs w:val="32"/>
          <w:highlight w:val="none"/>
        </w:rPr>
        <w:t>万元，占</w:t>
      </w:r>
      <w:r>
        <w:rPr>
          <w:rFonts w:hint="eastAsia" w:ascii="仿宋" w:hAnsi="仿宋" w:eastAsia="仿宋"/>
          <w:color w:val="auto"/>
          <w:sz w:val="32"/>
          <w:szCs w:val="32"/>
          <w:highlight w:val="none"/>
          <w:lang w:val="en-US" w:eastAsia="zh-CN"/>
        </w:rPr>
        <w:t>26.23</w:t>
      </w:r>
      <w:r>
        <w:rPr>
          <w:rFonts w:ascii="仿宋" w:hAnsi="仿宋" w:eastAsia="仿宋"/>
          <w:color w:val="auto"/>
          <w:sz w:val="32"/>
          <w:szCs w:val="32"/>
          <w:highlight w:val="none"/>
        </w:rPr>
        <w:t>%</w:t>
      </w:r>
      <w:r>
        <w:rPr>
          <w:rFonts w:hint="eastAsia" w:ascii="仿宋" w:hAnsi="仿宋" w:eastAsia="仿宋"/>
          <w:color w:val="auto"/>
          <w:sz w:val="32"/>
          <w:szCs w:val="32"/>
          <w:highlight w:val="none"/>
          <w:lang w:eastAsia="zh-CN"/>
        </w:rPr>
        <w:t>。</w:t>
      </w:r>
      <w:bookmarkEnd w:id="29"/>
    </w:p>
    <w:p>
      <w:pPr>
        <w:pStyle w:val="2"/>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lang w:eastAsia="zh-CN"/>
        </w:rPr>
        <w:drawing>
          <wp:inline distT="0" distB="0" distL="114300" distR="114300">
            <wp:extent cx="5627370" cy="3009265"/>
            <wp:effectExtent l="4445" t="4445" r="6985" b="1524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spacing w:line="600" w:lineRule="exact"/>
        <w:ind w:firstLine="640" w:firstLineChars="200"/>
        <w:rPr>
          <w:rFonts w:hint="eastAsia" w:ascii="仿宋_GB2312" w:eastAsia="仿宋_GB2312"/>
          <w:color w:val="auto"/>
          <w:sz w:val="32"/>
          <w:szCs w:val="32"/>
          <w:highlight w:val="none"/>
          <w:lang w:eastAsia="zh-CN"/>
        </w:rPr>
      </w:pPr>
      <w:r>
        <w:rPr>
          <w:rFonts w:hint="eastAsia" w:ascii="仿宋" w:hAnsi="仿宋" w:eastAsia="仿宋"/>
          <w:color w:val="auto"/>
          <w:sz w:val="32"/>
          <w:szCs w:val="32"/>
          <w:highlight w:val="none"/>
        </w:rPr>
        <w:t>（图3：支出决算结构图）（饼状图）</w:t>
      </w:r>
    </w:p>
    <w:p>
      <w:pPr>
        <w:pStyle w:val="2"/>
        <w:rPr>
          <w:rFonts w:hint="eastAsia" w:ascii="仿宋_GB2312" w:eastAsia="仿宋_GB2312"/>
          <w:color w:val="auto"/>
          <w:sz w:val="32"/>
          <w:szCs w:val="32"/>
          <w:highlight w:val="none"/>
          <w:lang w:eastAsia="zh-CN"/>
        </w:rPr>
      </w:pPr>
    </w:p>
    <w:p>
      <w:pPr>
        <w:spacing w:line="600" w:lineRule="exact"/>
        <w:ind w:firstLine="640" w:firstLineChars="200"/>
        <w:outlineLvl w:val="1"/>
        <w:rPr>
          <w:rStyle w:val="27"/>
          <w:rFonts w:ascii="黑体" w:hAnsi="黑体" w:eastAsia="黑体"/>
          <w:b w:val="0"/>
          <w:color w:val="auto"/>
          <w:highlight w:val="none"/>
        </w:rPr>
      </w:pPr>
      <w:bookmarkStart w:id="30" w:name="_Toc15396606"/>
      <w:bookmarkStart w:id="31" w:name="_Toc15377208"/>
      <w:bookmarkStart w:id="32" w:name="_Toc16075"/>
      <w:r>
        <w:rPr>
          <w:rFonts w:hint="eastAsia" w:ascii="黑体" w:hAnsi="黑体" w:eastAsia="黑体"/>
          <w:color w:val="auto"/>
          <w:sz w:val="32"/>
          <w:szCs w:val="32"/>
          <w:highlight w:val="none"/>
        </w:rPr>
        <w:t>四、财</w:t>
      </w:r>
      <w:r>
        <w:rPr>
          <w:rStyle w:val="27"/>
          <w:rFonts w:hint="eastAsia" w:ascii="黑体" w:hAnsi="黑体" w:eastAsia="黑体"/>
          <w:b w:val="0"/>
          <w:color w:val="auto"/>
          <w:highlight w:val="none"/>
        </w:rPr>
        <w:t>政拨款收入支出决算总体情况说明</w:t>
      </w:r>
      <w:bookmarkEnd w:id="30"/>
      <w:bookmarkEnd w:id="31"/>
      <w:bookmarkEnd w:id="32"/>
    </w:p>
    <w:p>
      <w:pPr>
        <w:spacing w:line="600" w:lineRule="exact"/>
        <w:ind w:firstLine="640"/>
        <w:rPr>
          <w:rFonts w:hint="eastAsia" w:ascii="仿宋" w:hAnsi="仿宋" w:eastAsia="仿宋"/>
          <w:color w:val="auto"/>
          <w:sz w:val="32"/>
          <w:szCs w:val="32"/>
          <w:highlight w:val="none"/>
          <w:lang w:eastAsia="zh-CN"/>
        </w:rPr>
      </w:pPr>
      <w:r>
        <w:rPr>
          <w:rFonts w:ascii="仿宋" w:hAnsi="仿宋" w:eastAsia="仿宋"/>
          <w:color w:val="auto"/>
          <w:sz w:val="32"/>
          <w:szCs w:val="32"/>
          <w:highlight w:val="none"/>
        </w:rPr>
        <w:t>20</w:t>
      </w:r>
      <w:r>
        <w:rPr>
          <w:rFonts w:hint="eastAsia" w:ascii="仿宋" w:hAnsi="仿宋" w:eastAsia="仿宋"/>
          <w:color w:val="auto"/>
          <w:sz w:val="32"/>
          <w:szCs w:val="32"/>
          <w:highlight w:val="none"/>
          <w:lang w:val="en-US" w:eastAsia="zh-CN"/>
        </w:rPr>
        <w:t>22</w:t>
      </w:r>
      <w:r>
        <w:rPr>
          <w:rFonts w:hint="eastAsia" w:ascii="仿宋" w:hAnsi="仿宋" w:eastAsia="仿宋"/>
          <w:color w:val="auto"/>
          <w:sz w:val="32"/>
          <w:szCs w:val="32"/>
          <w:highlight w:val="none"/>
        </w:rPr>
        <w:t>年财政拨款收、支总计</w:t>
      </w:r>
      <w:r>
        <w:rPr>
          <w:rFonts w:hint="eastAsia" w:ascii="仿宋" w:hAnsi="仿宋" w:eastAsia="仿宋"/>
          <w:color w:val="auto"/>
          <w:sz w:val="32"/>
          <w:szCs w:val="32"/>
          <w:highlight w:val="none"/>
          <w:lang w:val="en-US" w:eastAsia="zh-CN"/>
        </w:rPr>
        <w:t>472.28</w:t>
      </w:r>
      <w:r>
        <w:rPr>
          <w:rFonts w:hint="eastAsia" w:ascii="仿宋" w:hAnsi="仿宋" w:eastAsia="仿宋"/>
          <w:color w:val="auto"/>
          <w:sz w:val="32"/>
          <w:szCs w:val="32"/>
          <w:highlight w:val="none"/>
        </w:rPr>
        <w:t>万元。与</w:t>
      </w:r>
      <w:r>
        <w:rPr>
          <w:rFonts w:ascii="仿宋" w:hAnsi="仿宋" w:eastAsia="仿宋"/>
          <w:color w:val="auto"/>
          <w:sz w:val="32"/>
          <w:szCs w:val="32"/>
          <w:highlight w:val="none"/>
        </w:rPr>
        <w:t>20</w:t>
      </w:r>
      <w:r>
        <w:rPr>
          <w:rFonts w:hint="eastAsia" w:ascii="仿宋" w:hAnsi="仿宋" w:eastAsia="仿宋"/>
          <w:color w:val="auto"/>
          <w:sz w:val="32"/>
          <w:szCs w:val="32"/>
          <w:highlight w:val="none"/>
          <w:lang w:val="en-US" w:eastAsia="zh-CN"/>
        </w:rPr>
        <w:t>21</w:t>
      </w:r>
      <w:r>
        <w:rPr>
          <w:rFonts w:hint="eastAsia" w:ascii="仿宋" w:hAnsi="仿宋" w:eastAsia="仿宋"/>
          <w:color w:val="auto"/>
          <w:sz w:val="32"/>
          <w:szCs w:val="32"/>
          <w:highlight w:val="none"/>
        </w:rPr>
        <w:t>年相比，财政拨款收、支总计各增加</w:t>
      </w:r>
      <w:r>
        <w:rPr>
          <w:rFonts w:hint="eastAsia" w:ascii="仿宋" w:hAnsi="仿宋" w:eastAsia="仿宋"/>
          <w:color w:val="auto"/>
          <w:sz w:val="32"/>
          <w:szCs w:val="32"/>
          <w:highlight w:val="none"/>
          <w:lang w:val="en-US" w:eastAsia="zh-CN"/>
        </w:rPr>
        <w:t>21.97</w:t>
      </w:r>
      <w:r>
        <w:rPr>
          <w:rFonts w:hint="eastAsia" w:ascii="仿宋" w:hAnsi="仿宋" w:eastAsia="仿宋"/>
          <w:color w:val="auto"/>
          <w:sz w:val="32"/>
          <w:szCs w:val="32"/>
          <w:highlight w:val="none"/>
        </w:rPr>
        <w:t>万元，增长</w:t>
      </w:r>
      <w:r>
        <w:rPr>
          <w:rFonts w:hint="eastAsia" w:ascii="仿宋" w:hAnsi="仿宋" w:eastAsia="仿宋"/>
          <w:color w:val="auto"/>
          <w:sz w:val="32"/>
          <w:szCs w:val="32"/>
          <w:highlight w:val="none"/>
          <w:lang w:val="en-US" w:eastAsia="zh-CN"/>
        </w:rPr>
        <w:t>4.88</w:t>
      </w:r>
      <w:r>
        <w:rPr>
          <w:rFonts w:ascii="仿宋" w:hAnsi="仿宋" w:eastAsia="仿宋"/>
          <w:color w:val="auto"/>
          <w:sz w:val="32"/>
          <w:szCs w:val="32"/>
          <w:highlight w:val="none"/>
        </w:rPr>
        <w:t>%</w:t>
      </w:r>
      <w:r>
        <w:rPr>
          <w:rFonts w:hint="eastAsia" w:ascii="仿宋" w:hAnsi="仿宋" w:eastAsia="仿宋"/>
          <w:color w:val="auto"/>
          <w:sz w:val="32"/>
          <w:szCs w:val="32"/>
          <w:highlight w:val="none"/>
        </w:rPr>
        <w:t>。主要变动原因是</w:t>
      </w:r>
      <w:r>
        <w:rPr>
          <w:rFonts w:hint="eastAsia" w:ascii="仿宋" w:hAnsi="仿宋" w:eastAsia="仿宋"/>
          <w:color w:val="auto"/>
          <w:sz w:val="32"/>
          <w:szCs w:val="32"/>
          <w:highlight w:val="none"/>
          <w:lang w:eastAsia="zh-CN"/>
        </w:rPr>
        <w:t>增加了</w:t>
      </w:r>
      <w:r>
        <w:rPr>
          <w:rFonts w:hint="eastAsia" w:ascii="仿宋" w:hAnsi="仿宋" w:eastAsia="仿宋"/>
          <w:color w:val="auto"/>
          <w:sz w:val="32"/>
          <w:szCs w:val="32"/>
          <w:highlight w:val="none"/>
          <w:lang w:val="en-US" w:eastAsia="zh-CN"/>
        </w:rPr>
        <w:t>1</w:t>
      </w:r>
      <w:r>
        <w:rPr>
          <w:rFonts w:hint="eastAsia" w:ascii="仿宋" w:hAnsi="仿宋" w:eastAsia="仿宋"/>
          <w:color w:val="auto"/>
          <w:sz w:val="32"/>
          <w:szCs w:val="32"/>
          <w:highlight w:val="none"/>
          <w:lang w:eastAsia="zh-CN"/>
        </w:rPr>
        <w:t>名在职人员及</w:t>
      </w:r>
      <w:r>
        <w:rPr>
          <w:rFonts w:hint="eastAsia" w:ascii="仿宋" w:hAnsi="仿宋" w:eastAsia="仿宋"/>
          <w:color w:val="auto"/>
          <w:sz w:val="32"/>
          <w:szCs w:val="32"/>
          <w:highlight w:val="none"/>
        </w:rPr>
        <w:t>在编在职人员</w:t>
      </w:r>
      <w:r>
        <w:rPr>
          <w:rFonts w:hint="eastAsia" w:ascii="仿宋" w:hAnsi="仿宋" w:eastAsia="仿宋"/>
          <w:color w:val="auto"/>
          <w:sz w:val="32"/>
          <w:szCs w:val="32"/>
          <w:highlight w:val="none"/>
          <w:lang w:eastAsia="zh-CN"/>
        </w:rPr>
        <w:t>基础</w:t>
      </w:r>
      <w:r>
        <w:rPr>
          <w:rFonts w:hint="eastAsia" w:ascii="仿宋" w:hAnsi="仿宋" w:eastAsia="仿宋"/>
          <w:color w:val="auto"/>
          <w:sz w:val="32"/>
          <w:szCs w:val="32"/>
          <w:highlight w:val="none"/>
        </w:rPr>
        <w:t>绩效奖</w:t>
      </w:r>
      <w:r>
        <w:rPr>
          <w:rFonts w:hint="eastAsia" w:ascii="仿宋" w:hAnsi="仿宋" w:eastAsia="仿宋"/>
          <w:color w:val="auto"/>
          <w:sz w:val="32"/>
          <w:szCs w:val="32"/>
          <w:highlight w:val="none"/>
          <w:lang w:eastAsia="zh-CN"/>
        </w:rPr>
        <w:t>增加。</w:t>
      </w:r>
    </w:p>
    <w:p>
      <w:pPr>
        <w:pStyle w:val="2"/>
        <w:rPr>
          <w:rFonts w:hint="eastAsia" w:eastAsia="仿宋"/>
          <w:lang w:eastAsia="zh-CN"/>
        </w:rPr>
      </w:pPr>
      <w:r>
        <w:rPr>
          <w:rFonts w:hint="eastAsia" w:eastAsia="仿宋"/>
          <w:lang w:eastAsia="zh-CN"/>
        </w:rPr>
        <w:drawing>
          <wp:inline distT="0" distB="0" distL="114300" distR="114300">
            <wp:extent cx="5256530" cy="2501900"/>
            <wp:effectExtent l="4445" t="4445" r="15875" b="8255"/>
            <wp:docPr id="13"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spacing w:line="600" w:lineRule="exact"/>
        <w:ind w:firstLine="640" w:firstLineChars="200"/>
        <w:rPr>
          <w:rFonts w:hint="eastAsia" w:ascii="仿宋" w:hAnsi="仿宋" w:eastAsia="仿宋"/>
          <w:color w:val="auto"/>
          <w:sz w:val="32"/>
          <w:szCs w:val="32"/>
          <w:highlight w:val="none"/>
        </w:rPr>
      </w:pPr>
      <w:r>
        <w:rPr>
          <w:rFonts w:hint="eastAsia" w:ascii="仿宋" w:hAnsi="仿宋" w:eastAsia="仿宋"/>
          <w:color w:val="auto"/>
          <w:sz w:val="32"/>
          <w:szCs w:val="32"/>
          <w:highlight w:val="none"/>
        </w:rPr>
        <w:t>（图4：财政拨款收、支决算总计变动情况）（柱状图）</w:t>
      </w:r>
    </w:p>
    <w:p>
      <w:pPr>
        <w:pStyle w:val="3"/>
      </w:pPr>
    </w:p>
    <w:p>
      <w:pPr>
        <w:spacing w:line="600" w:lineRule="exact"/>
        <w:ind w:firstLine="640" w:firstLineChars="200"/>
        <w:outlineLvl w:val="1"/>
        <w:rPr>
          <w:rStyle w:val="27"/>
          <w:rFonts w:ascii="黑体" w:hAnsi="黑体" w:eastAsia="黑体"/>
          <w:b w:val="0"/>
          <w:color w:val="auto"/>
          <w:highlight w:val="none"/>
        </w:rPr>
      </w:pPr>
      <w:bookmarkStart w:id="33" w:name="_Toc15377209"/>
      <w:bookmarkStart w:id="34" w:name="_Toc29562"/>
      <w:bookmarkStart w:id="35" w:name="_Toc15396607"/>
      <w:r>
        <w:rPr>
          <w:rFonts w:hint="eastAsia" w:ascii="黑体" w:hAnsi="黑体" w:eastAsia="黑体"/>
          <w:color w:val="auto"/>
          <w:sz w:val="32"/>
          <w:szCs w:val="32"/>
          <w:highlight w:val="none"/>
        </w:rPr>
        <w:t>五、</w:t>
      </w:r>
      <w:r>
        <w:rPr>
          <w:rFonts w:hint="eastAsia" w:ascii="黑体" w:hAnsi="黑体" w:eastAsia="黑体"/>
          <w:b/>
          <w:color w:val="auto"/>
          <w:sz w:val="32"/>
          <w:szCs w:val="32"/>
          <w:highlight w:val="none"/>
        </w:rPr>
        <w:t>一</w:t>
      </w:r>
      <w:r>
        <w:rPr>
          <w:rStyle w:val="27"/>
          <w:rFonts w:hint="eastAsia" w:ascii="黑体" w:hAnsi="黑体" w:eastAsia="黑体"/>
          <w:b w:val="0"/>
          <w:color w:val="auto"/>
          <w:highlight w:val="none"/>
        </w:rPr>
        <w:t>般公共预算财政拨款支出决算情况说明</w:t>
      </w:r>
      <w:bookmarkEnd w:id="33"/>
      <w:bookmarkEnd w:id="34"/>
      <w:bookmarkEnd w:id="35"/>
    </w:p>
    <w:p>
      <w:pPr>
        <w:spacing w:line="600" w:lineRule="exact"/>
        <w:ind w:firstLine="643" w:firstLineChars="200"/>
        <w:outlineLvl w:val="2"/>
        <w:rPr>
          <w:rFonts w:ascii="仿宋" w:hAnsi="仿宋" w:eastAsia="仿宋"/>
          <w:b/>
          <w:color w:val="auto"/>
          <w:sz w:val="32"/>
          <w:szCs w:val="32"/>
          <w:highlight w:val="none"/>
        </w:rPr>
      </w:pPr>
      <w:bookmarkStart w:id="36" w:name="_Toc15377210"/>
      <w:r>
        <w:rPr>
          <w:rFonts w:hint="eastAsia" w:ascii="仿宋" w:hAnsi="仿宋" w:eastAsia="仿宋"/>
          <w:b/>
          <w:color w:val="auto"/>
          <w:sz w:val="32"/>
          <w:szCs w:val="32"/>
          <w:highlight w:val="none"/>
        </w:rPr>
        <w:t>（一）一般公共预算财政拨款支出决算总体情况</w:t>
      </w:r>
      <w:bookmarkEnd w:id="36"/>
    </w:p>
    <w:p>
      <w:pPr>
        <w:spacing w:line="600" w:lineRule="exact"/>
        <w:ind w:firstLine="640" w:firstLineChars="200"/>
        <w:rPr>
          <w:rFonts w:hint="eastAsia" w:ascii="仿宋" w:hAnsi="仿宋" w:eastAsia="仿宋"/>
          <w:color w:val="auto"/>
          <w:sz w:val="32"/>
          <w:szCs w:val="32"/>
          <w:highlight w:val="none"/>
          <w:lang w:eastAsia="zh-CN"/>
        </w:rPr>
      </w:pPr>
      <w:r>
        <w:rPr>
          <w:rFonts w:ascii="仿宋" w:hAnsi="仿宋" w:eastAsia="仿宋"/>
          <w:color w:val="auto"/>
          <w:sz w:val="32"/>
          <w:szCs w:val="32"/>
          <w:highlight w:val="none"/>
        </w:rPr>
        <w:t>20</w:t>
      </w:r>
      <w:r>
        <w:rPr>
          <w:rFonts w:hint="eastAsia" w:ascii="仿宋" w:hAnsi="仿宋" w:eastAsia="仿宋"/>
          <w:color w:val="auto"/>
          <w:sz w:val="32"/>
          <w:szCs w:val="32"/>
          <w:highlight w:val="none"/>
          <w:lang w:val="en-US" w:eastAsia="zh-CN"/>
        </w:rPr>
        <w:t>22</w:t>
      </w:r>
      <w:r>
        <w:rPr>
          <w:rFonts w:hint="eastAsia" w:ascii="仿宋" w:hAnsi="仿宋" w:eastAsia="仿宋"/>
          <w:color w:val="auto"/>
          <w:sz w:val="32"/>
          <w:szCs w:val="32"/>
          <w:highlight w:val="none"/>
        </w:rPr>
        <w:t>年一般公共预算财政拨款支出</w:t>
      </w:r>
      <w:r>
        <w:rPr>
          <w:rFonts w:hint="eastAsia" w:ascii="仿宋" w:hAnsi="仿宋" w:eastAsia="仿宋"/>
          <w:color w:val="auto"/>
          <w:sz w:val="32"/>
          <w:szCs w:val="32"/>
          <w:highlight w:val="none"/>
          <w:lang w:val="en-US" w:eastAsia="zh-CN"/>
        </w:rPr>
        <w:t>463.70</w:t>
      </w:r>
      <w:r>
        <w:rPr>
          <w:rFonts w:hint="eastAsia" w:ascii="仿宋" w:hAnsi="仿宋" w:eastAsia="仿宋"/>
          <w:color w:val="auto"/>
          <w:sz w:val="32"/>
          <w:szCs w:val="32"/>
          <w:highlight w:val="none"/>
        </w:rPr>
        <w:t>万元，占本年支出合计的</w:t>
      </w:r>
      <w:r>
        <w:rPr>
          <w:rFonts w:hint="eastAsia" w:ascii="仿宋" w:hAnsi="仿宋" w:eastAsia="仿宋"/>
          <w:color w:val="auto"/>
          <w:sz w:val="32"/>
          <w:szCs w:val="32"/>
          <w:highlight w:val="none"/>
          <w:lang w:val="en-US" w:eastAsia="zh-CN"/>
        </w:rPr>
        <w:t>100</w:t>
      </w:r>
      <w:r>
        <w:rPr>
          <w:rFonts w:ascii="仿宋" w:hAnsi="仿宋" w:eastAsia="仿宋"/>
          <w:color w:val="auto"/>
          <w:sz w:val="32"/>
          <w:szCs w:val="32"/>
          <w:highlight w:val="none"/>
        </w:rPr>
        <w:t>%</w:t>
      </w:r>
      <w:r>
        <w:rPr>
          <w:rFonts w:hint="eastAsia" w:ascii="仿宋" w:hAnsi="仿宋" w:eastAsia="仿宋"/>
          <w:color w:val="auto"/>
          <w:sz w:val="32"/>
          <w:szCs w:val="32"/>
          <w:highlight w:val="none"/>
        </w:rPr>
        <w:t>。与</w:t>
      </w:r>
      <w:r>
        <w:rPr>
          <w:rFonts w:ascii="仿宋" w:hAnsi="仿宋" w:eastAsia="仿宋"/>
          <w:color w:val="auto"/>
          <w:sz w:val="32"/>
          <w:szCs w:val="32"/>
          <w:highlight w:val="none"/>
        </w:rPr>
        <w:t>20</w:t>
      </w:r>
      <w:r>
        <w:rPr>
          <w:rFonts w:hint="eastAsia" w:ascii="仿宋" w:hAnsi="仿宋" w:eastAsia="仿宋"/>
          <w:color w:val="auto"/>
          <w:sz w:val="32"/>
          <w:szCs w:val="32"/>
          <w:highlight w:val="none"/>
          <w:lang w:val="en-US" w:eastAsia="zh-CN"/>
        </w:rPr>
        <w:t>21</w:t>
      </w:r>
      <w:r>
        <w:rPr>
          <w:rFonts w:hint="eastAsia" w:ascii="仿宋" w:hAnsi="仿宋" w:eastAsia="仿宋"/>
          <w:color w:val="auto"/>
          <w:sz w:val="32"/>
          <w:szCs w:val="32"/>
          <w:highlight w:val="none"/>
        </w:rPr>
        <w:t>年相比，一般公共预算财政拨款</w:t>
      </w:r>
      <w:r>
        <w:rPr>
          <w:rFonts w:hint="eastAsia" w:ascii="仿宋" w:hAnsi="仿宋" w:eastAsia="仿宋"/>
          <w:color w:val="auto"/>
          <w:sz w:val="32"/>
          <w:szCs w:val="32"/>
          <w:highlight w:val="none"/>
          <w:lang w:eastAsia="zh-CN"/>
        </w:rPr>
        <w:t>支出</w:t>
      </w:r>
      <w:r>
        <w:rPr>
          <w:rFonts w:hint="eastAsia" w:ascii="仿宋" w:hAnsi="仿宋" w:eastAsia="仿宋"/>
          <w:color w:val="auto"/>
          <w:sz w:val="32"/>
          <w:szCs w:val="32"/>
          <w:highlight w:val="none"/>
        </w:rPr>
        <w:t>增加</w:t>
      </w:r>
      <w:r>
        <w:rPr>
          <w:rFonts w:hint="eastAsia" w:ascii="仿宋" w:hAnsi="仿宋" w:eastAsia="仿宋"/>
          <w:color w:val="auto"/>
          <w:sz w:val="32"/>
          <w:szCs w:val="32"/>
          <w:highlight w:val="none"/>
          <w:lang w:val="en-US" w:eastAsia="zh-CN"/>
        </w:rPr>
        <w:t>47.56</w:t>
      </w:r>
      <w:r>
        <w:rPr>
          <w:rFonts w:hint="eastAsia" w:ascii="仿宋" w:hAnsi="仿宋" w:eastAsia="仿宋"/>
          <w:color w:val="auto"/>
          <w:sz w:val="32"/>
          <w:szCs w:val="32"/>
          <w:highlight w:val="none"/>
        </w:rPr>
        <w:t>万元，增长</w:t>
      </w:r>
      <w:r>
        <w:rPr>
          <w:rFonts w:hint="eastAsia" w:ascii="仿宋" w:hAnsi="仿宋" w:eastAsia="仿宋"/>
          <w:color w:val="auto"/>
          <w:sz w:val="32"/>
          <w:szCs w:val="32"/>
          <w:highlight w:val="none"/>
          <w:lang w:val="en-US" w:eastAsia="zh-CN"/>
        </w:rPr>
        <w:t>11.43</w:t>
      </w:r>
      <w:r>
        <w:rPr>
          <w:rFonts w:ascii="仿宋" w:hAnsi="仿宋" w:eastAsia="仿宋"/>
          <w:color w:val="auto"/>
          <w:sz w:val="32"/>
          <w:szCs w:val="32"/>
          <w:highlight w:val="none"/>
        </w:rPr>
        <w:t>%</w:t>
      </w:r>
      <w:r>
        <w:rPr>
          <w:rFonts w:hint="eastAsia" w:ascii="仿宋" w:hAnsi="仿宋" w:eastAsia="仿宋"/>
          <w:color w:val="auto"/>
          <w:sz w:val="32"/>
          <w:szCs w:val="32"/>
          <w:highlight w:val="none"/>
        </w:rPr>
        <w:t>。主要变动原因是本年度增加了1名在编在职人员、本年新增交易平台三级等保测评项目支出</w:t>
      </w:r>
      <w:r>
        <w:rPr>
          <w:rFonts w:hint="eastAsia" w:ascii="仿宋" w:hAnsi="仿宋" w:eastAsia="仿宋"/>
          <w:color w:val="auto"/>
          <w:sz w:val="32"/>
          <w:szCs w:val="32"/>
          <w:highlight w:val="none"/>
          <w:lang w:eastAsia="zh-CN"/>
        </w:rPr>
        <w:t>。</w:t>
      </w:r>
    </w:p>
    <w:p>
      <w:pPr>
        <w:spacing w:line="600" w:lineRule="exact"/>
        <w:ind w:firstLine="640" w:firstLineChars="200"/>
        <w:rPr>
          <w:rFonts w:ascii="仿宋" w:hAnsi="仿宋" w:eastAsia="仿宋"/>
          <w:color w:val="auto"/>
          <w:sz w:val="32"/>
          <w:szCs w:val="32"/>
          <w:highlight w:val="none"/>
        </w:rPr>
      </w:pPr>
    </w:p>
    <w:p>
      <w:pPr>
        <w:pStyle w:val="2"/>
        <w:rPr>
          <w:rFonts w:hint="eastAsia" w:ascii="仿宋" w:hAnsi="仿宋" w:eastAsia="仿宋"/>
          <w:color w:val="auto"/>
          <w:sz w:val="32"/>
          <w:szCs w:val="32"/>
          <w:highlight w:val="none"/>
          <w:lang w:eastAsia="zh-CN"/>
        </w:rPr>
      </w:pPr>
      <w:r>
        <w:rPr>
          <w:rFonts w:hint="eastAsia" w:ascii="仿宋" w:hAnsi="仿宋" w:eastAsia="仿宋"/>
          <w:color w:val="auto"/>
          <w:sz w:val="32"/>
          <w:szCs w:val="32"/>
          <w:highlight w:val="none"/>
          <w:lang w:eastAsia="zh-CN"/>
        </w:rPr>
        <w:drawing>
          <wp:inline distT="0" distB="0" distL="114300" distR="114300">
            <wp:extent cx="5256530" cy="3110865"/>
            <wp:effectExtent l="4445" t="4445" r="15875" b="889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spacing w:line="600" w:lineRule="exact"/>
        <w:ind w:firstLine="640" w:firstLineChars="200"/>
        <w:rPr>
          <w:rFonts w:ascii="仿宋" w:hAnsi="仿宋" w:eastAsia="仿宋"/>
          <w:color w:val="auto"/>
          <w:sz w:val="32"/>
          <w:szCs w:val="32"/>
          <w:highlight w:val="none"/>
        </w:rPr>
      </w:pPr>
      <w:r>
        <w:rPr>
          <w:rFonts w:hint="eastAsia" w:ascii="仿宋" w:hAnsi="仿宋" w:eastAsia="仿宋"/>
          <w:color w:val="auto"/>
          <w:sz w:val="32"/>
          <w:szCs w:val="32"/>
          <w:highlight w:val="none"/>
        </w:rPr>
        <w:t>（图5：一般公共预算财政拨款支出决算变动情况）（柱状图）</w:t>
      </w:r>
    </w:p>
    <w:p>
      <w:pPr>
        <w:pStyle w:val="3"/>
      </w:pPr>
    </w:p>
    <w:p>
      <w:pPr>
        <w:spacing w:line="600" w:lineRule="exact"/>
        <w:ind w:firstLine="643" w:firstLineChars="200"/>
        <w:outlineLvl w:val="2"/>
        <w:rPr>
          <w:rFonts w:ascii="仿宋" w:hAnsi="仿宋" w:eastAsia="仿宋"/>
          <w:b/>
          <w:color w:val="auto"/>
          <w:sz w:val="32"/>
          <w:szCs w:val="32"/>
          <w:highlight w:val="none"/>
        </w:rPr>
      </w:pPr>
      <w:bookmarkStart w:id="37" w:name="_Toc15377211"/>
      <w:r>
        <w:rPr>
          <w:rFonts w:hint="eastAsia" w:ascii="仿宋" w:hAnsi="仿宋" w:eastAsia="仿宋"/>
          <w:b/>
          <w:color w:val="auto"/>
          <w:sz w:val="32"/>
          <w:szCs w:val="32"/>
          <w:highlight w:val="none"/>
        </w:rPr>
        <w:t>（二）一般公共预算财政拨款支出决算结构情况</w:t>
      </w:r>
      <w:bookmarkEnd w:id="37"/>
    </w:p>
    <w:p>
      <w:pPr>
        <w:spacing w:line="600" w:lineRule="exact"/>
        <w:ind w:firstLine="640"/>
        <w:rPr>
          <w:rFonts w:ascii="仿宋" w:hAnsi="仿宋" w:eastAsia="仿宋"/>
          <w:color w:val="auto"/>
          <w:sz w:val="32"/>
          <w:szCs w:val="32"/>
          <w:highlight w:val="none"/>
        </w:rPr>
      </w:pPr>
      <w:r>
        <w:rPr>
          <w:rFonts w:ascii="仿宋" w:hAnsi="仿宋" w:eastAsia="仿宋"/>
          <w:color w:val="auto"/>
          <w:sz w:val="32"/>
          <w:szCs w:val="32"/>
          <w:highlight w:val="none"/>
        </w:rPr>
        <w:t>20</w:t>
      </w:r>
      <w:r>
        <w:rPr>
          <w:rFonts w:hint="eastAsia" w:ascii="仿宋" w:hAnsi="仿宋" w:eastAsia="仿宋"/>
          <w:color w:val="auto"/>
          <w:sz w:val="32"/>
          <w:szCs w:val="32"/>
          <w:highlight w:val="none"/>
          <w:lang w:val="en-US" w:eastAsia="zh-CN"/>
        </w:rPr>
        <w:t>22</w:t>
      </w:r>
      <w:r>
        <w:rPr>
          <w:rFonts w:hint="eastAsia" w:ascii="仿宋" w:hAnsi="仿宋" w:eastAsia="仿宋"/>
          <w:color w:val="auto"/>
          <w:sz w:val="32"/>
          <w:szCs w:val="32"/>
          <w:highlight w:val="none"/>
        </w:rPr>
        <w:t>年一般公共预算财政拨款支出</w:t>
      </w:r>
      <w:r>
        <w:rPr>
          <w:rFonts w:hint="eastAsia" w:ascii="仿宋" w:hAnsi="仿宋" w:eastAsia="仿宋"/>
          <w:color w:val="auto"/>
          <w:sz w:val="32"/>
          <w:szCs w:val="32"/>
          <w:highlight w:val="none"/>
          <w:lang w:val="en-US" w:eastAsia="zh-CN"/>
        </w:rPr>
        <w:t>463.70</w:t>
      </w:r>
      <w:r>
        <w:rPr>
          <w:rFonts w:hint="eastAsia" w:ascii="仿宋" w:hAnsi="仿宋" w:eastAsia="仿宋"/>
          <w:color w:val="auto"/>
          <w:sz w:val="32"/>
          <w:szCs w:val="32"/>
          <w:highlight w:val="none"/>
        </w:rPr>
        <w:t>万元，主要用于以下方面</w:t>
      </w:r>
      <w:r>
        <w:rPr>
          <w:rFonts w:ascii="仿宋" w:hAnsi="仿宋" w:eastAsia="仿宋"/>
          <w:color w:val="auto"/>
          <w:sz w:val="32"/>
          <w:szCs w:val="32"/>
          <w:highlight w:val="none"/>
        </w:rPr>
        <w:t>:</w:t>
      </w:r>
      <w:r>
        <w:rPr>
          <w:rFonts w:hint="eastAsia" w:ascii="仿宋" w:hAnsi="仿宋" w:eastAsia="仿宋"/>
          <w:b/>
          <w:color w:val="auto"/>
          <w:sz w:val="32"/>
          <w:szCs w:val="32"/>
          <w:highlight w:val="none"/>
        </w:rPr>
        <w:t>一般公共服务</w:t>
      </w:r>
      <w:r>
        <w:rPr>
          <w:rFonts w:hint="eastAsia" w:ascii="仿宋" w:hAnsi="仿宋" w:eastAsia="仿宋"/>
          <w:b/>
          <w:bCs/>
          <w:color w:val="auto"/>
          <w:sz w:val="32"/>
          <w:szCs w:val="32"/>
          <w:highlight w:val="none"/>
        </w:rPr>
        <w:t>支出</w:t>
      </w:r>
      <w:r>
        <w:rPr>
          <w:rFonts w:hint="eastAsia" w:ascii="仿宋" w:hAnsi="仿宋" w:eastAsia="仿宋"/>
          <w:color w:val="auto"/>
          <w:sz w:val="32"/>
          <w:szCs w:val="32"/>
          <w:highlight w:val="none"/>
          <w:lang w:val="en-US" w:eastAsia="zh-CN"/>
        </w:rPr>
        <w:t>397.43</w:t>
      </w:r>
      <w:r>
        <w:rPr>
          <w:rFonts w:hint="eastAsia" w:ascii="仿宋" w:hAnsi="仿宋" w:eastAsia="仿宋"/>
          <w:color w:val="auto"/>
          <w:sz w:val="32"/>
          <w:szCs w:val="32"/>
          <w:highlight w:val="none"/>
        </w:rPr>
        <w:t>万元，占</w:t>
      </w:r>
      <w:r>
        <w:rPr>
          <w:rFonts w:ascii="仿宋" w:hAnsi="仿宋" w:eastAsia="仿宋"/>
          <w:color w:val="auto"/>
          <w:sz w:val="32"/>
          <w:szCs w:val="32"/>
          <w:highlight w:val="none"/>
        </w:rPr>
        <w:t>85.71%</w:t>
      </w:r>
      <w:r>
        <w:rPr>
          <w:rFonts w:hint="eastAsia" w:ascii="仿宋" w:hAnsi="仿宋" w:eastAsia="仿宋"/>
          <w:color w:val="auto"/>
          <w:sz w:val="32"/>
          <w:szCs w:val="32"/>
          <w:highlight w:val="none"/>
        </w:rPr>
        <w:t>；</w:t>
      </w:r>
      <w:r>
        <w:rPr>
          <w:rFonts w:hint="eastAsia" w:ascii="仿宋" w:hAnsi="仿宋" w:eastAsia="仿宋"/>
          <w:b/>
          <w:color w:val="auto"/>
          <w:sz w:val="32"/>
          <w:szCs w:val="32"/>
          <w:highlight w:val="none"/>
        </w:rPr>
        <w:t>社会保障和就业</w:t>
      </w:r>
      <w:r>
        <w:rPr>
          <w:rFonts w:hint="eastAsia" w:ascii="仿宋" w:hAnsi="仿宋" w:eastAsia="仿宋"/>
          <w:b/>
          <w:bCs/>
          <w:color w:val="auto"/>
          <w:sz w:val="32"/>
          <w:szCs w:val="32"/>
          <w:highlight w:val="none"/>
        </w:rPr>
        <w:t>支出</w:t>
      </w:r>
      <w:r>
        <w:rPr>
          <w:rFonts w:ascii="仿宋" w:hAnsi="仿宋" w:eastAsia="仿宋"/>
          <w:color w:val="auto"/>
          <w:sz w:val="32"/>
          <w:szCs w:val="32"/>
          <w:highlight w:val="none"/>
        </w:rPr>
        <w:t>23.90</w:t>
      </w:r>
      <w:r>
        <w:rPr>
          <w:rFonts w:hint="eastAsia" w:ascii="仿宋" w:hAnsi="仿宋" w:eastAsia="仿宋"/>
          <w:color w:val="auto"/>
          <w:sz w:val="32"/>
          <w:szCs w:val="32"/>
          <w:highlight w:val="none"/>
        </w:rPr>
        <w:t>万元，占</w:t>
      </w:r>
      <w:r>
        <w:rPr>
          <w:rFonts w:ascii="仿宋" w:hAnsi="仿宋" w:eastAsia="仿宋"/>
          <w:color w:val="auto"/>
          <w:sz w:val="32"/>
          <w:szCs w:val="32"/>
          <w:highlight w:val="none"/>
        </w:rPr>
        <w:t>5.15%</w:t>
      </w:r>
      <w:r>
        <w:rPr>
          <w:rFonts w:hint="eastAsia" w:ascii="仿宋" w:hAnsi="仿宋" w:eastAsia="仿宋"/>
          <w:color w:val="auto"/>
          <w:sz w:val="32"/>
          <w:szCs w:val="32"/>
          <w:highlight w:val="none"/>
        </w:rPr>
        <w:t>；</w:t>
      </w:r>
      <w:r>
        <w:rPr>
          <w:rFonts w:hint="eastAsia" w:ascii="仿宋" w:hAnsi="仿宋" w:eastAsia="仿宋"/>
          <w:b/>
          <w:bCs/>
          <w:color w:val="auto"/>
          <w:sz w:val="32"/>
          <w:szCs w:val="32"/>
          <w:highlight w:val="none"/>
        </w:rPr>
        <w:t>卫生健康支出</w:t>
      </w:r>
      <w:r>
        <w:rPr>
          <w:rFonts w:ascii="仿宋" w:hAnsi="仿宋" w:eastAsia="仿宋"/>
          <w:color w:val="auto"/>
          <w:sz w:val="32"/>
          <w:szCs w:val="32"/>
          <w:highlight w:val="none"/>
        </w:rPr>
        <w:t>12.09</w:t>
      </w:r>
      <w:r>
        <w:rPr>
          <w:rFonts w:hint="eastAsia" w:ascii="仿宋" w:hAnsi="仿宋" w:eastAsia="仿宋"/>
          <w:color w:val="auto"/>
          <w:sz w:val="32"/>
          <w:szCs w:val="32"/>
          <w:highlight w:val="none"/>
        </w:rPr>
        <w:t>万元，占</w:t>
      </w:r>
      <w:r>
        <w:rPr>
          <w:rFonts w:ascii="仿宋" w:hAnsi="仿宋" w:eastAsia="仿宋"/>
          <w:color w:val="auto"/>
          <w:sz w:val="32"/>
          <w:szCs w:val="32"/>
          <w:highlight w:val="none"/>
        </w:rPr>
        <w:t>2.61%</w:t>
      </w:r>
      <w:r>
        <w:rPr>
          <w:rFonts w:hint="eastAsia" w:ascii="仿宋" w:hAnsi="仿宋" w:eastAsia="仿宋"/>
          <w:color w:val="auto"/>
          <w:sz w:val="32"/>
          <w:szCs w:val="32"/>
          <w:highlight w:val="none"/>
        </w:rPr>
        <w:t>；</w:t>
      </w:r>
      <w:r>
        <w:rPr>
          <w:rFonts w:hint="eastAsia" w:ascii="仿宋" w:hAnsi="仿宋" w:eastAsia="仿宋"/>
          <w:b/>
          <w:bCs/>
          <w:color w:val="auto"/>
          <w:sz w:val="32"/>
          <w:szCs w:val="32"/>
          <w:highlight w:val="none"/>
        </w:rPr>
        <w:t>住房保障支出</w:t>
      </w:r>
      <w:r>
        <w:rPr>
          <w:rFonts w:ascii="仿宋" w:hAnsi="仿宋" w:eastAsia="仿宋"/>
          <w:color w:val="auto"/>
          <w:sz w:val="32"/>
          <w:szCs w:val="32"/>
          <w:highlight w:val="none"/>
        </w:rPr>
        <w:t>30.29</w:t>
      </w:r>
      <w:r>
        <w:rPr>
          <w:rFonts w:hint="eastAsia" w:ascii="仿宋" w:hAnsi="仿宋" w:eastAsia="仿宋"/>
          <w:color w:val="auto"/>
          <w:sz w:val="32"/>
          <w:szCs w:val="32"/>
          <w:highlight w:val="none"/>
        </w:rPr>
        <w:t>万元，占</w:t>
      </w:r>
      <w:r>
        <w:rPr>
          <w:rFonts w:ascii="仿宋" w:hAnsi="仿宋" w:eastAsia="仿宋"/>
          <w:color w:val="auto"/>
          <w:sz w:val="32"/>
          <w:szCs w:val="32"/>
          <w:highlight w:val="none"/>
        </w:rPr>
        <w:t>6.53%</w:t>
      </w:r>
      <w:r>
        <w:rPr>
          <w:rFonts w:hint="eastAsia" w:ascii="仿宋" w:hAnsi="仿宋" w:eastAsia="仿宋"/>
          <w:color w:val="auto"/>
          <w:sz w:val="32"/>
          <w:szCs w:val="32"/>
          <w:highlight w:val="none"/>
        </w:rPr>
        <w:t>。</w:t>
      </w:r>
    </w:p>
    <w:p>
      <w:pPr>
        <w:pStyle w:val="2"/>
        <w:rPr>
          <w:rFonts w:hint="default" w:eastAsia="仿宋"/>
          <w:lang w:eastAsia="zh-CN"/>
        </w:rPr>
      </w:pPr>
      <w:r>
        <w:rPr>
          <w:rFonts w:hint="default" w:eastAsia="仿宋"/>
          <w:lang w:eastAsia="zh-CN"/>
        </w:rPr>
        <w:drawing>
          <wp:inline distT="0" distB="0" distL="114300" distR="114300">
            <wp:extent cx="4838700" cy="2752725"/>
            <wp:effectExtent l="0" t="0" r="0" b="952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2"/>
                    <a:stretch>
                      <a:fillRect/>
                    </a:stretch>
                  </pic:blipFill>
                  <pic:spPr>
                    <a:xfrm>
                      <a:off x="0" y="0"/>
                      <a:ext cx="4838700" cy="2752725"/>
                    </a:xfrm>
                    <a:prstGeom prst="rect">
                      <a:avLst/>
                    </a:prstGeom>
                  </pic:spPr>
                </pic:pic>
              </a:graphicData>
            </a:graphic>
          </wp:inline>
        </w:drawing>
      </w:r>
    </w:p>
    <w:p>
      <w:pPr>
        <w:spacing w:line="600" w:lineRule="exact"/>
        <w:ind w:firstLine="640" w:firstLineChars="200"/>
        <w:rPr>
          <w:rFonts w:hint="eastAsia" w:ascii="仿宋" w:hAnsi="仿宋" w:eastAsia="仿宋"/>
          <w:color w:val="auto"/>
          <w:sz w:val="32"/>
          <w:szCs w:val="32"/>
          <w:highlight w:val="none"/>
        </w:rPr>
      </w:pPr>
      <w:r>
        <w:rPr>
          <w:rFonts w:hint="eastAsia" w:ascii="仿宋" w:hAnsi="仿宋" w:eastAsia="仿宋"/>
          <w:color w:val="auto"/>
          <w:sz w:val="32"/>
          <w:szCs w:val="32"/>
          <w:highlight w:val="none"/>
        </w:rPr>
        <w:t>（图6：一般公共预算财政拨款支出决算结构）（饼状图）</w:t>
      </w:r>
    </w:p>
    <w:p>
      <w:pPr>
        <w:spacing w:line="600" w:lineRule="exact"/>
        <w:ind w:firstLine="640" w:firstLineChars="200"/>
        <w:rPr>
          <w:rFonts w:ascii="仿宋" w:hAnsi="仿宋" w:eastAsia="仿宋"/>
          <w:color w:val="auto"/>
          <w:sz w:val="32"/>
          <w:szCs w:val="32"/>
          <w:highlight w:val="none"/>
        </w:rPr>
      </w:pPr>
    </w:p>
    <w:p>
      <w:pPr>
        <w:spacing w:line="600" w:lineRule="exact"/>
        <w:ind w:firstLine="643" w:firstLineChars="200"/>
        <w:outlineLvl w:val="2"/>
        <w:rPr>
          <w:rFonts w:ascii="仿宋" w:hAnsi="仿宋" w:eastAsia="仿宋"/>
          <w:b/>
          <w:color w:val="auto"/>
          <w:sz w:val="32"/>
          <w:szCs w:val="32"/>
          <w:highlight w:val="none"/>
        </w:rPr>
      </w:pPr>
      <w:bookmarkStart w:id="38" w:name="_Toc15377212"/>
      <w:r>
        <w:rPr>
          <w:rFonts w:hint="eastAsia" w:ascii="仿宋" w:hAnsi="仿宋" w:eastAsia="仿宋"/>
          <w:b/>
          <w:color w:val="auto"/>
          <w:sz w:val="32"/>
          <w:szCs w:val="32"/>
          <w:highlight w:val="none"/>
        </w:rPr>
        <w:t>（三）一般公共预算财政拨款支出决算具体情况</w:t>
      </w:r>
      <w:bookmarkEnd w:id="38"/>
    </w:p>
    <w:p>
      <w:pPr>
        <w:spacing w:line="600" w:lineRule="exact"/>
        <w:ind w:firstLine="643" w:firstLineChars="200"/>
        <w:outlineLvl w:val="1"/>
        <w:rPr>
          <w:rFonts w:ascii="仿宋" w:hAnsi="仿宋" w:eastAsia="仿宋"/>
          <w:color w:val="auto"/>
          <w:sz w:val="32"/>
          <w:szCs w:val="32"/>
          <w:highlight w:val="none"/>
        </w:rPr>
      </w:pPr>
      <w:bookmarkStart w:id="39" w:name="_Toc15377213"/>
      <w:bookmarkStart w:id="40" w:name="_Toc15378460"/>
      <w:bookmarkStart w:id="41" w:name="_Toc6050"/>
      <w:bookmarkStart w:id="42" w:name="_Toc15377444"/>
      <w:r>
        <w:rPr>
          <w:rFonts w:hint="eastAsia" w:ascii="仿宋" w:hAnsi="仿宋" w:eastAsia="仿宋"/>
          <w:b/>
          <w:color w:val="auto"/>
          <w:sz w:val="32"/>
          <w:szCs w:val="32"/>
          <w:highlight w:val="none"/>
        </w:rPr>
        <w:t>20</w:t>
      </w:r>
      <w:r>
        <w:rPr>
          <w:rFonts w:hint="eastAsia" w:ascii="仿宋" w:hAnsi="仿宋" w:eastAsia="仿宋"/>
          <w:b/>
          <w:color w:val="auto"/>
          <w:sz w:val="32"/>
          <w:szCs w:val="32"/>
          <w:highlight w:val="none"/>
          <w:lang w:val="en-US" w:eastAsia="zh-CN"/>
        </w:rPr>
        <w:t>22</w:t>
      </w:r>
      <w:r>
        <w:rPr>
          <w:rFonts w:hint="eastAsia" w:ascii="仿宋" w:hAnsi="仿宋" w:eastAsia="仿宋"/>
          <w:b/>
          <w:color w:val="auto"/>
          <w:sz w:val="32"/>
          <w:szCs w:val="32"/>
          <w:highlight w:val="none"/>
        </w:rPr>
        <w:t>年</w:t>
      </w:r>
      <w:r>
        <w:rPr>
          <w:rFonts w:hint="eastAsia" w:ascii="仿宋" w:hAnsi="仿宋" w:eastAsia="仿宋"/>
          <w:b/>
          <w:color w:val="auto"/>
          <w:sz w:val="32"/>
          <w:szCs w:val="32"/>
          <w:highlight w:val="none"/>
          <w:lang w:eastAsia="zh-CN"/>
        </w:rPr>
        <w:t>一</w:t>
      </w:r>
      <w:r>
        <w:rPr>
          <w:rFonts w:hint="eastAsia" w:ascii="仿宋" w:hAnsi="仿宋" w:eastAsia="仿宋"/>
          <w:b/>
          <w:color w:val="auto"/>
          <w:sz w:val="32"/>
          <w:szCs w:val="32"/>
          <w:highlight w:val="none"/>
        </w:rPr>
        <w:t>般公共预算支出决算数为</w:t>
      </w:r>
      <w:r>
        <w:rPr>
          <w:rFonts w:hint="eastAsia" w:ascii="仿宋" w:hAnsi="仿宋" w:eastAsia="仿宋"/>
          <w:b/>
          <w:color w:val="auto"/>
          <w:sz w:val="32"/>
          <w:szCs w:val="32"/>
          <w:highlight w:val="none"/>
          <w:lang w:val="en-US" w:eastAsia="zh-CN"/>
        </w:rPr>
        <w:t>463.70</w:t>
      </w:r>
      <w:r>
        <w:rPr>
          <w:rFonts w:hint="eastAsia" w:ascii="仿宋" w:hAnsi="仿宋" w:eastAsia="仿宋"/>
          <w:b/>
          <w:color w:val="auto"/>
          <w:sz w:val="32"/>
          <w:szCs w:val="32"/>
          <w:highlight w:val="none"/>
        </w:rPr>
        <w:t>万元</w:t>
      </w:r>
      <w:r>
        <w:rPr>
          <w:rFonts w:hint="eastAsia" w:ascii="仿宋" w:hAnsi="仿宋" w:eastAsia="仿宋"/>
          <w:color w:val="auto"/>
          <w:sz w:val="32"/>
          <w:szCs w:val="32"/>
          <w:highlight w:val="none"/>
        </w:rPr>
        <w:t>，</w:t>
      </w:r>
      <w:r>
        <w:rPr>
          <w:rStyle w:val="16"/>
          <w:rFonts w:hint="eastAsia" w:ascii="仿宋" w:hAnsi="仿宋" w:eastAsia="仿宋"/>
          <w:bCs/>
          <w:color w:val="auto"/>
          <w:sz w:val="32"/>
          <w:szCs w:val="32"/>
          <w:highlight w:val="none"/>
        </w:rPr>
        <w:t>完成预算</w:t>
      </w:r>
      <w:r>
        <w:rPr>
          <w:rStyle w:val="16"/>
          <w:rFonts w:hint="eastAsia" w:ascii="仿宋" w:hAnsi="仿宋" w:eastAsia="仿宋"/>
          <w:bCs/>
          <w:color w:val="auto"/>
          <w:sz w:val="32"/>
          <w:szCs w:val="32"/>
          <w:highlight w:val="none"/>
          <w:lang w:val="en-US" w:eastAsia="zh-CN"/>
        </w:rPr>
        <w:t>98.18</w:t>
      </w:r>
      <w:r>
        <w:rPr>
          <w:rStyle w:val="16"/>
          <w:rFonts w:ascii="仿宋" w:hAnsi="仿宋" w:eastAsia="仿宋"/>
          <w:bCs/>
          <w:color w:val="auto"/>
          <w:sz w:val="32"/>
          <w:szCs w:val="32"/>
          <w:highlight w:val="none"/>
        </w:rPr>
        <w:t>%</w:t>
      </w:r>
      <w:r>
        <w:rPr>
          <w:rStyle w:val="16"/>
          <w:rFonts w:hint="eastAsia" w:ascii="仿宋" w:hAnsi="仿宋" w:eastAsia="仿宋"/>
          <w:bCs/>
          <w:color w:val="auto"/>
          <w:sz w:val="32"/>
          <w:szCs w:val="32"/>
          <w:highlight w:val="none"/>
        </w:rPr>
        <w:t>。其中：</w:t>
      </w:r>
      <w:bookmarkEnd w:id="39"/>
      <w:bookmarkEnd w:id="40"/>
      <w:bookmarkEnd w:id="41"/>
      <w:bookmarkEnd w:id="42"/>
    </w:p>
    <w:p>
      <w:pPr>
        <w:numPr>
          <w:ilvl w:val="0"/>
          <w:numId w:val="0"/>
        </w:numPr>
        <w:spacing w:line="600" w:lineRule="exact"/>
        <w:ind w:firstLine="643" w:firstLineChars="200"/>
        <w:rPr>
          <w:rStyle w:val="16"/>
          <w:rFonts w:hint="eastAsia" w:ascii="仿宋" w:hAnsi="仿宋" w:eastAsia="仿宋"/>
          <w:b w:val="0"/>
          <w:bCs/>
          <w:color w:val="auto"/>
          <w:sz w:val="32"/>
          <w:szCs w:val="32"/>
          <w:highlight w:val="none"/>
        </w:rPr>
      </w:pPr>
      <w:r>
        <w:rPr>
          <w:rStyle w:val="16"/>
          <w:rFonts w:hint="eastAsia" w:ascii="仿宋" w:hAnsi="仿宋" w:eastAsia="仿宋"/>
          <w:bCs/>
          <w:color w:val="auto"/>
          <w:sz w:val="32"/>
          <w:szCs w:val="32"/>
          <w:highlight w:val="none"/>
          <w:lang w:val="en-US" w:eastAsia="zh-CN"/>
        </w:rPr>
        <w:t>1.</w:t>
      </w:r>
      <w:r>
        <w:rPr>
          <w:rStyle w:val="16"/>
          <w:rFonts w:hint="eastAsia" w:ascii="仿宋" w:hAnsi="仿宋" w:eastAsia="仿宋"/>
          <w:bCs/>
          <w:color w:val="auto"/>
          <w:sz w:val="32"/>
          <w:szCs w:val="32"/>
          <w:highlight w:val="none"/>
        </w:rPr>
        <w:t>一般公共服务</w:t>
      </w:r>
      <w:r>
        <w:rPr>
          <w:rStyle w:val="16"/>
          <w:rFonts w:hint="eastAsia" w:ascii="仿宋" w:hAnsi="仿宋" w:eastAsia="仿宋"/>
          <w:bCs/>
          <w:color w:val="auto"/>
          <w:sz w:val="32"/>
          <w:szCs w:val="32"/>
          <w:highlight w:val="none"/>
          <w:lang w:eastAsia="zh-CN"/>
        </w:rPr>
        <w:t>支出</w:t>
      </w:r>
      <w:r>
        <w:rPr>
          <w:rStyle w:val="16"/>
          <w:rFonts w:hint="eastAsia" w:ascii="仿宋" w:hAnsi="仿宋" w:eastAsia="仿宋"/>
          <w:bCs/>
          <w:color w:val="auto"/>
          <w:sz w:val="32"/>
          <w:szCs w:val="32"/>
          <w:highlight w:val="none"/>
        </w:rPr>
        <w:t>（类）</w:t>
      </w:r>
      <w:r>
        <w:rPr>
          <w:rStyle w:val="16"/>
          <w:rFonts w:hint="eastAsia" w:ascii="仿宋" w:hAnsi="仿宋" w:eastAsia="仿宋"/>
          <w:bCs/>
          <w:color w:val="auto"/>
          <w:sz w:val="32"/>
          <w:szCs w:val="32"/>
          <w:highlight w:val="none"/>
          <w:lang w:eastAsia="zh-CN"/>
        </w:rPr>
        <w:t>政府办公厅（室）及相关机构事务</w:t>
      </w:r>
      <w:r>
        <w:rPr>
          <w:rStyle w:val="16"/>
          <w:rFonts w:hint="eastAsia" w:ascii="仿宋" w:hAnsi="仿宋" w:eastAsia="仿宋"/>
          <w:bCs/>
          <w:color w:val="auto"/>
          <w:sz w:val="32"/>
          <w:szCs w:val="32"/>
          <w:highlight w:val="none"/>
        </w:rPr>
        <w:t>（款）</w:t>
      </w:r>
      <w:r>
        <w:rPr>
          <w:rStyle w:val="16"/>
          <w:rFonts w:hint="eastAsia" w:ascii="仿宋" w:hAnsi="仿宋" w:eastAsia="仿宋"/>
          <w:bCs/>
          <w:color w:val="auto"/>
          <w:sz w:val="32"/>
          <w:szCs w:val="32"/>
          <w:highlight w:val="none"/>
          <w:lang w:eastAsia="zh-CN"/>
        </w:rPr>
        <w:t>事业运行</w:t>
      </w:r>
      <w:r>
        <w:rPr>
          <w:rStyle w:val="16"/>
          <w:rFonts w:hint="eastAsia" w:ascii="仿宋" w:hAnsi="仿宋" w:eastAsia="仿宋"/>
          <w:bCs/>
          <w:color w:val="auto"/>
          <w:sz w:val="32"/>
          <w:szCs w:val="32"/>
          <w:highlight w:val="none"/>
        </w:rPr>
        <w:t>（项）</w:t>
      </w:r>
      <w:r>
        <w:rPr>
          <w:rStyle w:val="16"/>
          <w:rFonts w:ascii="仿宋" w:hAnsi="仿宋" w:eastAsia="仿宋"/>
          <w:bCs/>
          <w:color w:val="auto"/>
          <w:sz w:val="32"/>
          <w:szCs w:val="32"/>
          <w:highlight w:val="none"/>
        </w:rPr>
        <w:t>:</w:t>
      </w:r>
      <w:r>
        <w:rPr>
          <w:rStyle w:val="16"/>
          <w:rFonts w:ascii="仿宋" w:hAnsi="仿宋" w:eastAsia="仿宋"/>
          <w:b w:val="0"/>
          <w:bCs/>
          <w:color w:val="auto"/>
          <w:sz w:val="32"/>
          <w:szCs w:val="32"/>
          <w:highlight w:val="none"/>
        </w:rPr>
        <w:t xml:space="preserve"> </w:t>
      </w:r>
      <w:r>
        <w:rPr>
          <w:rStyle w:val="16"/>
          <w:rFonts w:hint="eastAsia" w:ascii="仿宋" w:hAnsi="仿宋" w:eastAsia="仿宋"/>
          <w:b w:val="0"/>
          <w:bCs/>
          <w:color w:val="auto"/>
          <w:sz w:val="32"/>
          <w:szCs w:val="32"/>
          <w:highlight w:val="none"/>
        </w:rPr>
        <w:t>支出决算为</w:t>
      </w:r>
      <w:r>
        <w:rPr>
          <w:rStyle w:val="16"/>
          <w:rFonts w:hint="eastAsia" w:ascii="仿宋" w:hAnsi="仿宋" w:eastAsia="仿宋"/>
          <w:b w:val="0"/>
          <w:bCs/>
          <w:color w:val="auto"/>
          <w:sz w:val="32"/>
          <w:szCs w:val="32"/>
          <w:highlight w:val="none"/>
          <w:lang w:val="en-US" w:eastAsia="zh-CN"/>
        </w:rPr>
        <w:t>275.79</w:t>
      </w:r>
      <w:r>
        <w:rPr>
          <w:rStyle w:val="16"/>
          <w:rFonts w:hint="eastAsia" w:ascii="仿宋" w:hAnsi="仿宋" w:eastAsia="仿宋"/>
          <w:b w:val="0"/>
          <w:bCs/>
          <w:color w:val="auto"/>
          <w:sz w:val="32"/>
          <w:szCs w:val="32"/>
          <w:highlight w:val="none"/>
        </w:rPr>
        <w:t>万元，完成预算</w:t>
      </w:r>
      <w:r>
        <w:rPr>
          <w:rStyle w:val="16"/>
          <w:rFonts w:hint="eastAsia" w:ascii="仿宋" w:hAnsi="仿宋" w:eastAsia="仿宋"/>
          <w:b w:val="0"/>
          <w:bCs/>
          <w:color w:val="auto"/>
          <w:sz w:val="32"/>
          <w:szCs w:val="32"/>
          <w:highlight w:val="none"/>
          <w:lang w:val="en-US" w:eastAsia="zh-CN"/>
        </w:rPr>
        <w:t>96.98</w:t>
      </w:r>
      <w:r>
        <w:rPr>
          <w:rStyle w:val="16"/>
          <w:rFonts w:ascii="仿宋" w:hAnsi="仿宋" w:eastAsia="仿宋"/>
          <w:b w:val="0"/>
          <w:bCs/>
          <w:color w:val="auto"/>
          <w:sz w:val="32"/>
          <w:szCs w:val="32"/>
          <w:highlight w:val="none"/>
        </w:rPr>
        <w:t>%</w:t>
      </w:r>
      <w:r>
        <w:rPr>
          <w:rStyle w:val="16"/>
          <w:rFonts w:hint="eastAsia" w:ascii="仿宋" w:hAnsi="仿宋" w:eastAsia="仿宋"/>
          <w:b w:val="0"/>
          <w:bCs/>
          <w:color w:val="auto"/>
          <w:sz w:val="32"/>
          <w:szCs w:val="32"/>
          <w:highlight w:val="none"/>
        </w:rPr>
        <w:t>，决算数小于预算数的主要原因是</w:t>
      </w:r>
      <w:r>
        <w:rPr>
          <w:rStyle w:val="16"/>
          <w:rFonts w:hint="eastAsia" w:ascii="仿宋" w:hAnsi="仿宋" w:eastAsia="仿宋"/>
          <w:b w:val="0"/>
          <w:bCs/>
          <w:color w:val="auto"/>
          <w:sz w:val="32"/>
          <w:szCs w:val="32"/>
          <w:highlight w:val="none"/>
          <w:lang w:eastAsia="zh-CN"/>
        </w:rPr>
        <w:t>部分库存现金及职工社保、公积金等人员经费尚未支付完毕</w:t>
      </w:r>
      <w:r>
        <w:rPr>
          <w:rStyle w:val="16"/>
          <w:rFonts w:hint="eastAsia" w:ascii="仿宋" w:hAnsi="仿宋" w:eastAsia="仿宋"/>
          <w:b w:val="0"/>
          <w:bCs/>
          <w:color w:val="auto"/>
          <w:sz w:val="32"/>
          <w:szCs w:val="32"/>
          <w:highlight w:val="none"/>
        </w:rPr>
        <w:t>。</w:t>
      </w:r>
    </w:p>
    <w:p>
      <w:pPr>
        <w:pStyle w:val="2"/>
        <w:numPr>
          <w:ilvl w:val="0"/>
          <w:numId w:val="0"/>
        </w:numPr>
        <w:ind w:firstLine="643" w:firstLineChars="200"/>
      </w:pPr>
      <w:r>
        <w:rPr>
          <w:rStyle w:val="16"/>
          <w:rFonts w:hint="eastAsia" w:ascii="仿宋" w:hAnsi="仿宋" w:eastAsia="仿宋"/>
          <w:bCs/>
          <w:color w:val="auto"/>
          <w:sz w:val="32"/>
          <w:szCs w:val="32"/>
          <w:highlight w:val="none"/>
          <w:lang w:val="en-US" w:eastAsia="zh-CN"/>
        </w:rPr>
        <w:t>2.</w:t>
      </w:r>
      <w:r>
        <w:rPr>
          <w:rStyle w:val="16"/>
          <w:rFonts w:hint="eastAsia" w:ascii="仿宋" w:hAnsi="仿宋" w:eastAsia="仿宋"/>
          <w:bCs/>
          <w:color w:val="auto"/>
          <w:sz w:val="32"/>
          <w:szCs w:val="32"/>
          <w:highlight w:val="none"/>
        </w:rPr>
        <w:t>一般公共服务</w:t>
      </w:r>
      <w:r>
        <w:rPr>
          <w:rStyle w:val="16"/>
          <w:rFonts w:hint="eastAsia" w:ascii="仿宋" w:hAnsi="仿宋" w:eastAsia="仿宋"/>
          <w:bCs/>
          <w:color w:val="auto"/>
          <w:sz w:val="32"/>
          <w:szCs w:val="32"/>
          <w:highlight w:val="none"/>
          <w:lang w:eastAsia="zh-CN"/>
        </w:rPr>
        <w:t>支出</w:t>
      </w:r>
      <w:r>
        <w:rPr>
          <w:rStyle w:val="16"/>
          <w:rFonts w:hint="eastAsia" w:ascii="仿宋" w:hAnsi="仿宋" w:eastAsia="仿宋"/>
          <w:bCs/>
          <w:color w:val="auto"/>
          <w:sz w:val="32"/>
          <w:szCs w:val="32"/>
          <w:highlight w:val="none"/>
        </w:rPr>
        <w:t>（类）</w:t>
      </w:r>
      <w:r>
        <w:rPr>
          <w:rStyle w:val="16"/>
          <w:rFonts w:hint="eastAsia" w:ascii="仿宋" w:hAnsi="仿宋" w:eastAsia="仿宋"/>
          <w:bCs/>
          <w:color w:val="auto"/>
          <w:sz w:val="32"/>
          <w:szCs w:val="32"/>
          <w:highlight w:val="none"/>
          <w:lang w:eastAsia="zh-CN"/>
        </w:rPr>
        <w:t>政府办公厅（室）及相关机构事务</w:t>
      </w:r>
      <w:r>
        <w:rPr>
          <w:rStyle w:val="16"/>
          <w:rFonts w:hint="eastAsia" w:ascii="仿宋" w:hAnsi="仿宋" w:eastAsia="仿宋"/>
          <w:bCs/>
          <w:color w:val="auto"/>
          <w:sz w:val="32"/>
          <w:szCs w:val="32"/>
          <w:highlight w:val="none"/>
        </w:rPr>
        <w:t>（款）</w:t>
      </w:r>
      <w:r>
        <w:rPr>
          <w:rStyle w:val="16"/>
          <w:rFonts w:hint="eastAsia" w:ascii="仿宋" w:hAnsi="仿宋" w:eastAsia="仿宋"/>
          <w:bCs/>
          <w:color w:val="auto"/>
          <w:sz w:val="32"/>
          <w:szCs w:val="32"/>
          <w:highlight w:val="none"/>
          <w:lang w:eastAsia="zh-CN"/>
        </w:rPr>
        <w:t>其他政府办公厅（室）及相关机构事务支出</w:t>
      </w:r>
      <w:r>
        <w:rPr>
          <w:rStyle w:val="16"/>
          <w:rFonts w:hint="eastAsia" w:ascii="仿宋" w:hAnsi="仿宋" w:eastAsia="仿宋"/>
          <w:bCs/>
          <w:color w:val="auto"/>
          <w:sz w:val="32"/>
          <w:szCs w:val="32"/>
          <w:highlight w:val="none"/>
        </w:rPr>
        <w:t>（项）</w:t>
      </w:r>
      <w:r>
        <w:rPr>
          <w:rStyle w:val="16"/>
          <w:rFonts w:ascii="仿宋" w:hAnsi="仿宋" w:eastAsia="仿宋"/>
          <w:bCs/>
          <w:color w:val="auto"/>
          <w:sz w:val="32"/>
          <w:szCs w:val="32"/>
          <w:highlight w:val="none"/>
        </w:rPr>
        <w:t>:</w:t>
      </w:r>
      <w:r>
        <w:rPr>
          <w:rStyle w:val="16"/>
          <w:rFonts w:ascii="仿宋" w:hAnsi="仿宋" w:eastAsia="仿宋"/>
          <w:b w:val="0"/>
          <w:bCs/>
          <w:color w:val="auto"/>
          <w:sz w:val="32"/>
          <w:szCs w:val="32"/>
          <w:highlight w:val="none"/>
        </w:rPr>
        <w:t xml:space="preserve"> </w:t>
      </w:r>
      <w:r>
        <w:rPr>
          <w:rStyle w:val="16"/>
          <w:rFonts w:hint="eastAsia" w:ascii="仿宋" w:hAnsi="仿宋" w:eastAsia="仿宋"/>
          <w:b w:val="0"/>
          <w:bCs/>
          <w:color w:val="auto"/>
          <w:sz w:val="32"/>
          <w:szCs w:val="32"/>
          <w:highlight w:val="none"/>
        </w:rPr>
        <w:t>支出决算为</w:t>
      </w:r>
      <w:r>
        <w:rPr>
          <w:rStyle w:val="16"/>
          <w:rFonts w:hint="eastAsia" w:ascii="仿宋" w:hAnsi="仿宋" w:eastAsia="仿宋"/>
          <w:b w:val="0"/>
          <w:bCs/>
          <w:color w:val="auto"/>
          <w:sz w:val="32"/>
          <w:szCs w:val="32"/>
          <w:highlight w:val="none"/>
          <w:lang w:val="en-US" w:eastAsia="zh-CN"/>
        </w:rPr>
        <w:t>121.64</w:t>
      </w:r>
      <w:r>
        <w:rPr>
          <w:rStyle w:val="16"/>
          <w:rFonts w:hint="eastAsia" w:ascii="仿宋" w:hAnsi="仿宋" w:eastAsia="仿宋"/>
          <w:b w:val="0"/>
          <w:bCs/>
          <w:color w:val="auto"/>
          <w:sz w:val="32"/>
          <w:szCs w:val="32"/>
          <w:highlight w:val="none"/>
        </w:rPr>
        <w:t>万元，完成预算</w:t>
      </w:r>
      <w:r>
        <w:rPr>
          <w:rStyle w:val="16"/>
          <w:rFonts w:hint="eastAsia" w:ascii="仿宋" w:hAnsi="仿宋" w:eastAsia="仿宋"/>
          <w:b w:val="0"/>
          <w:bCs/>
          <w:color w:val="auto"/>
          <w:sz w:val="32"/>
          <w:szCs w:val="32"/>
          <w:highlight w:val="none"/>
          <w:lang w:val="en-US" w:eastAsia="zh-CN"/>
        </w:rPr>
        <w:t>100</w:t>
      </w:r>
      <w:r>
        <w:rPr>
          <w:rStyle w:val="16"/>
          <w:rFonts w:ascii="仿宋" w:hAnsi="仿宋" w:eastAsia="仿宋"/>
          <w:b w:val="0"/>
          <w:bCs/>
          <w:color w:val="auto"/>
          <w:sz w:val="32"/>
          <w:szCs w:val="32"/>
          <w:highlight w:val="none"/>
        </w:rPr>
        <w:t>%</w:t>
      </w:r>
      <w:r>
        <w:rPr>
          <w:rStyle w:val="16"/>
          <w:rFonts w:hint="eastAsia" w:ascii="仿宋" w:hAnsi="仿宋" w:eastAsia="仿宋"/>
          <w:b w:val="0"/>
          <w:bCs/>
          <w:color w:val="auto"/>
          <w:sz w:val="32"/>
          <w:szCs w:val="32"/>
          <w:highlight w:val="none"/>
          <w:lang w:eastAsia="zh-CN"/>
        </w:rPr>
        <w:t>。</w:t>
      </w:r>
    </w:p>
    <w:p>
      <w:pPr>
        <w:spacing w:line="600" w:lineRule="exact"/>
        <w:ind w:firstLine="643" w:firstLineChars="200"/>
        <w:rPr>
          <w:rStyle w:val="16"/>
          <w:rFonts w:hint="eastAsia" w:ascii="仿宋" w:hAnsi="仿宋" w:eastAsia="仿宋"/>
          <w:b w:val="0"/>
          <w:bCs/>
          <w:color w:val="auto"/>
          <w:sz w:val="32"/>
          <w:szCs w:val="32"/>
          <w:highlight w:val="none"/>
        </w:rPr>
      </w:pPr>
      <w:r>
        <w:rPr>
          <w:rStyle w:val="16"/>
          <w:rFonts w:hint="eastAsia" w:ascii="仿宋" w:hAnsi="仿宋" w:eastAsia="仿宋"/>
          <w:bCs/>
          <w:color w:val="auto"/>
          <w:sz w:val="32"/>
          <w:szCs w:val="32"/>
          <w:highlight w:val="none"/>
          <w:lang w:val="en-US" w:eastAsia="zh-CN"/>
        </w:rPr>
        <w:t>3</w:t>
      </w:r>
      <w:r>
        <w:rPr>
          <w:rStyle w:val="16"/>
          <w:rFonts w:ascii="仿宋" w:hAnsi="仿宋" w:eastAsia="仿宋"/>
          <w:bCs/>
          <w:color w:val="auto"/>
          <w:sz w:val="32"/>
          <w:szCs w:val="32"/>
          <w:highlight w:val="none"/>
        </w:rPr>
        <w:t>.</w:t>
      </w:r>
      <w:r>
        <w:rPr>
          <w:rStyle w:val="16"/>
          <w:rFonts w:hint="eastAsia" w:ascii="仿宋" w:hAnsi="仿宋" w:eastAsia="仿宋"/>
          <w:bCs/>
          <w:color w:val="auto"/>
          <w:sz w:val="32"/>
          <w:szCs w:val="32"/>
          <w:highlight w:val="none"/>
        </w:rPr>
        <w:t>社会保障和就业</w:t>
      </w:r>
      <w:r>
        <w:rPr>
          <w:rStyle w:val="16"/>
          <w:rFonts w:hint="eastAsia" w:ascii="仿宋" w:hAnsi="仿宋" w:eastAsia="仿宋"/>
          <w:bCs/>
          <w:color w:val="auto"/>
          <w:sz w:val="32"/>
          <w:szCs w:val="32"/>
          <w:highlight w:val="none"/>
          <w:lang w:eastAsia="zh-CN"/>
        </w:rPr>
        <w:t>支出</w:t>
      </w:r>
      <w:r>
        <w:rPr>
          <w:rStyle w:val="16"/>
          <w:rFonts w:hint="eastAsia" w:ascii="仿宋" w:hAnsi="仿宋" w:eastAsia="仿宋"/>
          <w:bCs/>
          <w:color w:val="auto"/>
          <w:sz w:val="32"/>
          <w:szCs w:val="32"/>
          <w:highlight w:val="none"/>
        </w:rPr>
        <w:t>（类）</w:t>
      </w:r>
      <w:r>
        <w:rPr>
          <w:rStyle w:val="16"/>
          <w:rFonts w:hint="eastAsia" w:ascii="仿宋" w:hAnsi="仿宋" w:eastAsia="仿宋"/>
          <w:bCs/>
          <w:color w:val="auto"/>
          <w:sz w:val="32"/>
          <w:szCs w:val="32"/>
          <w:highlight w:val="none"/>
          <w:lang w:eastAsia="zh-CN"/>
        </w:rPr>
        <w:t>行政事业单位养老支出</w:t>
      </w:r>
      <w:r>
        <w:rPr>
          <w:rStyle w:val="16"/>
          <w:rFonts w:hint="eastAsia" w:ascii="仿宋" w:hAnsi="仿宋" w:eastAsia="仿宋"/>
          <w:bCs/>
          <w:color w:val="auto"/>
          <w:sz w:val="32"/>
          <w:szCs w:val="32"/>
          <w:highlight w:val="none"/>
        </w:rPr>
        <w:t>（款）</w:t>
      </w:r>
      <w:r>
        <w:rPr>
          <w:rStyle w:val="16"/>
          <w:rFonts w:hint="eastAsia" w:ascii="仿宋" w:hAnsi="仿宋" w:eastAsia="仿宋"/>
          <w:bCs/>
          <w:color w:val="auto"/>
          <w:sz w:val="32"/>
          <w:szCs w:val="32"/>
          <w:highlight w:val="none"/>
          <w:lang w:eastAsia="zh-CN"/>
        </w:rPr>
        <w:t>事业单位离退休</w:t>
      </w:r>
      <w:r>
        <w:rPr>
          <w:rStyle w:val="16"/>
          <w:rFonts w:hint="eastAsia" w:ascii="仿宋" w:hAnsi="仿宋" w:eastAsia="仿宋"/>
          <w:bCs/>
          <w:color w:val="auto"/>
          <w:sz w:val="32"/>
          <w:szCs w:val="32"/>
          <w:highlight w:val="none"/>
        </w:rPr>
        <w:t>（项）</w:t>
      </w:r>
      <w:r>
        <w:rPr>
          <w:rStyle w:val="16"/>
          <w:rFonts w:ascii="仿宋" w:hAnsi="仿宋" w:eastAsia="仿宋"/>
          <w:bCs/>
          <w:color w:val="auto"/>
          <w:sz w:val="32"/>
          <w:szCs w:val="32"/>
          <w:highlight w:val="none"/>
        </w:rPr>
        <w:t>:</w:t>
      </w:r>
      <w:r>
        <w:rPr>
          <w:rStyle w:val="16"/>
          <w:rFonts w:ascii="仿宋" w:hAnsi="仿宋" w:eastAsia="仿宋"/>
          <w:b w:val="0"/>
          <w:bCs/>
          <w:color w:val="auto"/>
          <w:sz w:val="32"/>
          <w:szCs w:val="32"/>
          <w:highlight w:val="none"/>
        </w:rPr>
        <w:t xml:space="preserve"> </w:t>
      </w:r>
      <w:r>
        <w:rPr>
          <w:rStyle w:val="16"/>
          <w:rFonts w:hint="eastAsia" w:ascii="仿宋" w:hAnsi="仿宋" w:eastAsia="仿宋"/>
          <w:b w:val="0"/>
          <w:bCs/>
          <w:color w:val="auto"/>
          <w:sz w:val="32"/>
          <w:szCs w:val="32"/>
          <w:highlight w:val="none"/>
        </w:rPr>
        <w:t>支出决算为</w:t>
      </w:r>
      <w:r>
        <w:rPr>
          <w:rStyle w:val="16"/>
          <w:rFonts w:hint="eastAsia" w:ascii="仿宋" w:hAnsi="仿宋" w:eastAsia="仿宋"/>
          <w:b w:val="0"/>
          <w:bCs/>
          <w:color w:val="auto"/>
          <w:sz w:val="32"/>
          <w:szCs w:val="32"/>
          <w:highlight w:val="none"/>
          <w:lang w:val="en-US" w:eastAsia="zh-CN"/>
        </w:rPr>
        <w:t>2.52</w:t>
      </w:r>
      <w:r>
        <w:rPr>
          <w:rStyle w:val="16"/>
          <w:rFonts w:hint="eastAsia" w:ascii="仿宋" w:hAnsi="仿宋" w:eastAsia="仿宋"/>
          <w:b w:val="0"/>
          <w:bCs/>
          <w:color w:val="auto"/>
          <w:sz w:val="32"/>
          <w:szCs w:val="32"/>
          <w:highlight w:val="none"/>
        </w:rPr>
        <w:t>万元，完成预算</w:t>
      </w:r>
      <w:r>
        <w:rPr>
          <w:rStyle w:val="16"/>
          <w:rFonts w:hint="eastAsia" w:ascii="仿宋" w:hAnsi="仿宋" w:eastAsia="仿宋"/>
          <w:b w:val="0"/>
          <w:bCs/>
          <w:color w:val="auto"/>
          <w:sz w:val="32"/>
          <w:szCs w:val="32"/>
          <w:highlight w:val="none"/>
          <w:lang w:val="en-US" w:eastAsia="zh-CN"/>
        </w:rPr>
        <w:t>100</w:t>
      </w:r>
      <w:r>
        <w:rPr>
          <w:rStyle w:val="16"/>
          <w:rFonts w:ascii="仿宋" w:hAnsi="仿宋" w:eastAsia="仿宋"/>
          <w:b w:val="0"/>
          <w:bCs/>
          <w:color w:val="auto"/>
          <w:sz w:val="32"/>
          <w:szCs w:val="32"/>
          <w:highlight w:val="none"/>
        </w:rPr>
        <w:t>%</w:t>
      </w:r>
      <w:r>
        <w:rPr>
          <w:rStyle w:val="16"/>
          <w:rFonts w:hint="eastAsia" w:ascii="仿宋" w:hAnsi="仿宋" w:eastAsia="仿宋"/>
          <w:b w:val="0"/>
          <w:bCs/>
          <w:color w:val="auto"/>
          <w:sz w:val="32"/>
          <w:szCs w:val="32"/>
          <w:highlight w:val="none"/>
        </w:rPr>
        <w:t>，决算数等于预算数。</w:t>
      </w:r>
    </w:p>
    <w:p>
      <w:pPr>
        <w:spacing w:line="600" w:lineRule="exact"/>
        <w:ind w:firstLine="643" w:firstLineChars="200"/>
      </w:pPr>
      <w:r>
        <w:rPr>
          <w:rStyle w:val="16"/>
          <w:rFonts w:hint="eastAsia" w:ascii="仿宋" w:hAnsi="仿宋" w:eastAsia="仿宋"/>
          <w:bCs/>
          <w:color w:val="auto"/>
          <w:sz w:val="32"/>
          <w:szCs w:val="32"/>
          <w:highlight w:val="none"/>
          <w:lang w:val="en-US" w:eastAsia="zh-CN"/>
        </w:rPr>
        <w:t>4</w:t>
      </w:r>
      <w:r>
        <w:rPr>
          <w:rStyle w:val="16"/>
          <w:rFonts w:ascii="仿宋" w:hAnsi="仿宋" w:eastAsia="仿宋"/>
          <w:bCs/>
          <w:color w:val="auto"/>
          <w:sz w:val="32"/>
          <w:szCs w:val="32"/>
          <w:highlight w:val="none"/>
        </w:rPr>
        <w:t>.</w:t>
      </w:r>
      <w:r>
        <w:rPr>
          <w:rStyle w:val="16"/>
          <w:rFonts w:hint="eastAsia" w:ascii="仿宋" w:hAnsi="仿宋" w:eastAsia="仿宋"/>
          <w:bCs/>
          <w:color w:val="auto"/>
          <w:sz w:val="32"/>
          <w:szCs w:val="32"/>
          <w:highlight w:val="none"/>
        </w:rPr>
        <w:t>社会保障和就业</w:t>
      </w:r>
      <w:r>
        <w:rPr>
          <w:rStyle w:val="16"/>
          <w:rFonts w:hint="eastAsia" w:ascii="仿宋" w:hAnsi="仿宋" w:eastAsia="仿宋"/>
          <w:bCs/>
          <w:color w:val="auto"/>
          <w:sz w:val="32"/>
          <w:szCs w:val="32"/>
          <w:highlight w:val="none"/>
          <w:lang w:eastAsia="zh-CN"/>
        </w:rPr>
        <w:t>支出</w:t>
      </w:r>
      <w:r>
        <w:rPr>
          <w:rStyle w:val="16"/>
          <w:rFonts w:hint="eastAsia" w:ascii="仿宋" w:hAnsi="仿宋" w:eastAsia="仿宋"/>
          <w:bCs/>
          <w:color w:val="auto"/>
          <w:sz w:val="32"/>
          <w:szCs w:val="32"/>
          <w:highlight w:val="none"/>
        </w:rPr>
        <w:t>（类）</w:t>
      </w:r>
      <w:r>
        <w:rPr>
          <w:rStyle w:val="16"/>
          <w:rFonts w:hint="eastAsia" w:ascii="仿宋" w:hAnsi="仿宋" w:eastAsia="仿宋"/>
          <w:bCs/>
          <w:color w:val="auto"/>
          <w:sz w:val="32"/>
          <w:szCs w:val="32"/>
          <w:highlight w:val="none"/>
          <w:lang w:eastAsia="zh-CN"/>
        </w:rPr>
        <w:t>行政事业单位养老支出</w:t>
      </w:r>
      <w:r>
        <w:rPr>
          <w:rStyle w:val="16"/>
          <w:rFonts w:hint="eastAsia" w:ascii="仿宋" w:hAnsi="仿宋" w:eastAsia="仿宋"/>
          <w:bCs/>
          <w:color w:val="auto"/>
          <w:sz w:val="32"/>
          <w:szCs w:val="32"/>
          <w:highlight w:val="none"/>
        </w:rPr>
        <w:t>（款）</w:t>
      </w:r>
      <w:r>
        <w:rPr>
          <w:rStyle w:val="16"/>
          <w:rFonts w:hint="eastAsia" w:ascii="仿宋" w:hAnsi="仿宋" w:eastAsia="仿宋"/>
          <w:bCs/>
          <w:color w:val="auto"/>
          <w:sz w:val="32"/>
          <w:szCs w:val="32"/>
          <w:highlight w:val="none"/>
          <w:lang w:eastAsia="zh-CN"/>
        </w:rPr>
        <w:t>机关事业单位基本养老保险缴费支出</w:t>
      </w:r>
      <w:r>
        <w:rPr>
          <w:rStyle w:val="16"/>
          <w:rFonts w:hint="eastAsia" w:ascii="仿宋" w:hAnsi="仿宋" w:eastAsia="仿宋"/>
          <w:bCs/>
          <w:color w:val="auto"/>
          <w:sz w:val="32"/>
          <w:szCs w:val="32"/>
          <w:highlight w:val="none"/>
        </w:rPr>
        <w:t>（项）</w:t>
      </w:r>
      <w:r>
        <w:rPr>
          <w:rStyle w:val="16"/>
          <w:rFonts w:ascii="仿宋" w:hAnsi="仿宋" w:eastAsia="仿宋"/>
          <w:bCs/>
          <w:color w:val="auto"/>
          <w:sz w:val="32"/>
          <w:szCs w:val="32"/>
          <w:highlight w:val="none"/>
        </w:rPr>
        <w:t>:</w:t>
      </w:r>
      <w:r>
        <w:rPr>
          <w:rStyle w:val="16"/>
          <w:rFonts w:ascii="仿宋" w:hAnsi="仿宋" w:eastAsia="仿宋"/>
          <w:b w:val="0"/>
          <w:bCs/>
          <w:color w:val="auto"/>
          <w:sz w:val="32"/>
          <w:szCs w:val="32"/>
          <w:highlight w:val="none"/>
        </w:rPr>
        <w:t xml:space="preserve"> </w:t>
      </w:r>
      <w:r>
        <w:rPr>
          <w:rStyle w:val="16"/>
          <w:rFonts w:hint="eastAsia" w:ascii="仿宋" w:hAnsi="仿宋" w:eastAsia="仿宋"/>
          <w:b w:val="0"/>
          <w:bCs/>
          <w:color w:val="auto"/>
          <w:sz w:val="32"/>
          <w:szCs w:val="32"/>
          <w:highlight w:val="none"/>
        </w:rPr>
        <w:t>支出决算为</w:t>
      </w:r>
      <w:r>
        <w:rPr>
          <w:rStyle w:val="16"/>
          <w:rFonts w:hint="eastAsia" w:ascii="仿宋" w:hAnsi="仿宋" w:eastAsia="仿宋"/>
          <w:b w:val="0"/>
          <w:bCs/>
          <w:color w:val="auto"/>
          <w:sz w:val="32"/>
          <w:szCs w:val="32"/>
          <w:highlight w:val="none"/>
          <w:lang w:val="en-US" w:eastAsia="zh-CN"/>
        </w:rPr>
        <w:t>21.37</w:t>
      </w:r>
      <w:r>
        <w:rPr>
          <w:rStyle w:val="16"/>
          <w:rFonts w:hint="eastAsia" w:ascii="仿宋" w:hAnsi="仿宋" w:eastAsia="仿宋"/>
          <w:b w:val="0"/>
          <w:bCs/>
          <w:color w:val="auto"/>
          <w:sz w:val="32"/>
          <w:szCs w:val="32"/>
          <w:highlight w:val="none"/>
        </w:rPr>
        <w:t>万元，完成预算</w:t>
      </w:r>
      <w:r>
        <w:rPr>
          <w:rStyle w:val="16"/>
          <w:rFonts w:hint="eastAsia" w:ascii="仿宋" w:hAnsi="仿宋" w:eastAsia="仿宋"/>
          <w:b w:val="0"/>
          <w:bCs/>
          <w:color w:val="auto"/>
          <w:sz w:val="32"/>
          <w:szCs w:val="32"/>
          <w:highlight w:val="none"/>
          <w:lang w:val="en-US" w:eastAsia="zh-CN"/>
        </w:rPr>
        <w:t>100</w:t>
      </w:r>
      <w:r>
        <w:rPr>
          <w:rStyle w:val="16"/>
          <w:rFonts w:ascii="仿宋" w:hAnsi="仿宋" w:eastAsia="仿宋"/>
          <w:b w:val="0"/>
          <w:bCs/>
          <w:color w:val="auto"/>
          <w:sz w:val="32"/>
          <w:szCs w:val="32"/>
          <w:highlight w:val="none"/>
        </w:rPr>
        <w:t>%</w:t>
      </w:r>
      <w:r>
        <w:rPr>
          <w:rStyle w:val="16"/>
          <w:rFonts w:hint="eastAsia" w:ascii="仿宋" w:hAnsi="仿宋" w:eastAsia="仿宋"/>
          <w:b w:val="0"/>
          <w:bCs/>
          <w:color w:val="auto"/>
          <w:sz w:val="32"/>
          <w:szCs w:val="32"/>
          <w:highlight w:val="none"/>
        </w:rPr>
        <w:t>，决算数等于预算数。</w:t>
      </w:r>
    </w:p>
    <w:p>
      <w:pPr>
        <w:spacing w:line="600" w:lineRule="exact"/>
        <w:ind w:firstLine="643" w:firstLineChars="200"/>
        <w:rPr>
          <w:rFonts w:ascii="仿宋" w:hAnsi="仿宋" w:eastAsia="仿宋"/>
          <w:b/>
          <w:color w:val="auto"/>
          <w:sz w:val="32"/>
          <w:szCs w:val="32"/>
          <w:highlight w:val="none"/>
        </w:rPr>
      </w:pPr>
      <w:r>
        <w:rPr>
          <w:rStyle w:val="16"/>
          <w:rFonts w:hint="eastAsia" w:ascii="仿宋" w:hAnsi="仿宋" w:eastAsia="仿宋"/>
          <w:bCs/>
          <w:color w:val="auto"/>
          <w:sz w:val="32"/>
          <w:szCs w:val="32"/>
          <w:highlight w:val="none"/>
          <w:lang w:val="en-US" w:eastAsia="zh-CN"/>
        </w:rPr>
        <w:t>5</w:t>
      </w:r>
      <w:r>
        <w:rPr>
          <w:rStyle w:val="16"/>
          <w:rFonts w:ascii="仿宋" w:hAnsi="仿宋" w:eastAsia="仿宋"/>
          <w:bCs/>
          <w:color w:val="auto"/>
          <w:sz w:val="32"/>
          <w:szCs w:val="32"/>
          <w:highlight w:val="none"/>
        </w:rPr>
        <w:t>.</w:t>
      </w:r>
      <w:r>
        <w:rPr>
          <w:rFonts w:hint="eastAsia" w:ascii="仿宋" w:hAnsi="仿宋" w:eastAsia="仿宋"/>
          <w:b/>
          <w:bCs/>
          <w:color w:val="auto"/>
          <w:sz w:val="32"/>
          <w:szCs w:val="32"/>
          <w:highlight w:val="none"/>
        </w:rPr>
        <w:t>卫生健康</w:t>
      </w:r>
      <w:r>
        <w:rPr>
          <w:rFonts w:hint="eastAsia" w:ascii="仿宋" w:hAnsi="仿宋" w:eastAsia="仿宋"/>
          <w:b/>
          <w:bCs/>
          <w:color w:val="auto"/>
          <w:sz w:val="32"/>
          <w:szCs w:val="32"/>
          <w:highlight w:val="none"/>
          <w:lang w:eastAsia="zh-CN"/>
        </w:rPr>
        <w:t>支持</w:t>
      </w:r>
      <w:r>
        <w:rPr>
          <w:rStyle w:val="16"/>
          <w:rFonts w:hint="eastAsia" w:ascii="仿宋" w:hAnsi="仿宋" w:eastAsia="仿宋"/>
          <w:bCs/>
          <w:color w:val="auto"/>
          <w:sz w:val="32"/>
          <w:szCs w:val="32"/>
          <w:highlight w:val="none"/>
        </w:rPr>
        <w:t>（类）</w:t>
      </w:r>
      <w:r>
        <w:rPr>
          <w:rStyle w:val="16"/>
          <w:rFonts w:hint="eastAsia" w:ascii="仿宋" w:hAnsi="仿宋" w:eastAsia="仿宋"/>
          <w:bCs/>
          <w:color w:val="auto"/>
          <w:sz w:val="32"/>
          <w:szCs w:val="32"/>
          <w:highlight w:val="none"/>
          <w:lang w:eastAsia="zh-CN"/>
        </w:rPr>
        <w:t>行政事业单位医疗</w:t>
      </w:r>
      <w:r>
        <w:rPr>
          <w:rStyle w:val="16"/>
          <w:rFonts w:hint="eastAsia" w:ascii="仿宋" w:hAnsi="仿宋" w:eastAsia="仿宋"/>
          <w:bCs/>
          <w:color w:val="auto"/>
          <w:sz w:val="32"/>
          <w:szCs w:val="32"/>
          <w:highlight w:val="none"/>
        </w:rPr>
        <w:t>（款）</w:t>
      </w:r>
      <w:r>
        <w:rPr>
          <w:rStyle w:val="16"/>
          <w:rFonts w:hint="eastAsia" w:ascii="仿宋" w:hAnsi="仿宋" w:eastAsia="仿宋"/>
          <w:bCs/>
          <w:color w:val="auto"/>
          <w:sz w:val="32"/>
          <w:szCs w:val="32"/>
          <w:highlight w:val="none"/>
          <w:lang w:eastAsia="zh-CN"/>
        </w:rPr>
        <w:t>事业单位医疗</w:t>
      </w:r>
      <w:r>
        <w:rPr>
          <w:rStyle w:val="16"/>
          <w:rFonts w:hint="eastAsia" w:ascii="仿宋" w:hAnsi="仿宋" w:eastAsia="仿宋"/>
          <w:bCs/>
          <w:color w:val="auto"/>
          <w:sz w:val="32"/>
          <w:szCs w:val="32"/>
          <w:highlight w:val="none"/>
        </w:rPr>
        <w:t>（项）</w:t>
      </w:r>
      <w:r>
        <w:rPr>
          <w:rStyle w:val="16"/>
          <w:rFonts w:ascii="仿宋" w:hAnsi="仿宋" w:eastAsia="仿宋"/>
          <w:bCs/>
          <w:color w:val="auto"/>
          <w:sz w:val="32"/>
          <w:szCs w:val="32"/>
          <w:highlight w:val="none"/>
        </w:rPr>
        <w:t>:</w:t>
      </w:r>
      <w:r>
        <w:rPr>
          <w:rStyle w:val="16"/>
          <w:rFonts w:hint="eastAsia" w:ascii="仿宋" w:hAnsi="仿宋" w:eastAsia="仿宋"/>
          <w:b w:val="0"/>
          <w:bCs/>
          <w:color w:val="auto"/>
          <w:sz w:val="32"/>
          <w:szCs w:val="32"/>
          <w:highlight w:val="none"/>
        </w:rPr>
        <w:t>支出决算为</w:t>
      </w:r>
      <w:r>
        <w:rPr>
          <w:rStyle w:val="16"/>
          <w:rFonts w:hint="eastAsia" w:ascii="仿宋" w:hAnsi="仿宋" w:eastAsia="仿宋"/>
          <w:b w:val="0"/>
          <w:bCs/>
          <w:color w:val="auto"/>
          <w:sz w:val="32"/>
          <w:szCs w:val="32"/>
          <w:highlight w:val="none"/>
          <w:lang w:val="en-US" w:eastAsia="zh-CN"/>
        </w:rPr>
        <w:t>12.09</w:t>
      </w:r>
      <w:r>
        <w:rPr>
          <w:rStyle w:val="16"/>
          <w:rFonts w:hint="eastAsia" w:ascii="仿宋" w:hAnsi="仿宋" w:eastAsia="仿宋"/>
          <w:b w:val="0"/>
          <w:bCs/>
          <w:color w:val="auto"/>
          <w:sz w:val="32"/>
          <w:szCs w:val="32"/>
          <w:highlight w:val="none"/>
        </w:rPr>
        <w:t>万元，完成预算</w:t>
      </w:r>
      <w:r>
        <w:rPr>
          <w:rStyle w:val="16"/>
          <w:rFonts w:hint="eastAsia" w:ascii="仿宋" w:hAnsi="仿宋" w:eastAsia="仿宋"/>
          <w:b w:val="0"/>
          <w:bCs/>
          <w:color w:val="auto"/>
          <w:sz w:val="32"/>
          <w:szCs w:val="32"/>
          <w:highlight w:val="none"/>
          <w:lang w:val="en-US" w:eastAsia="zh-CN"/>
        </w:rPr>
        <w:t>100</w:t>
      </w:r>
      <w:r>
        <w:rPr>
          <w:rStyle w:val="16"/>
          <w:rFonts w:ascii="仿宋" w:hAnsi="仿宋" w:eastAsia="仿宋"/>
          <w:b w:val="0"/>
          <w:bCs/>
          <w:color w:val="auto"/>
          <w:sz w:val="32"/>
          <w:szCs w:val="32"/>
          <w:highlight w:val="none"/>
        </w:rPr>
        <w:t>%</w:t>
      </w:r>
      <w:r>
        <w:rPr>
          <w:rStyle w:val="16"/>
          <w:rFonts w:hint="eastAsia" w:ascii="仿宋" w:hAnsi="仿宋" w:eastAsia="仿宋"/>
          <w:b w:val="0"/>
          <w:bCs/>
          <w:color w:val="auto"/>
          <w:sz w:val="32"/>
          <w:szCs w:val="32"/>
          <w:highlight w:val="none"/>
        </w:rPr>
        <w:t>，决算数等于预算数。</w:t>
      </w:r>
    </w:p>
    <w:p>
      <w:pPr>
        <w:spacing w:line="600" w:lineRule="exact"/>
        <w:ind w:firstLine="643" w:firstLineChars="200"/>
        <w:rPr>
          <w:rFonts w:ascii="仿宋" w:hAnsi="仿宋" w:eastAsia="仿宋"/>
          <w:b/>
          <w:color w:val="auto"/>
          <w:sz w:val="32"/>
          <w:szCs w:val="32"/>
          <w:highlight w:val="none"/>
        </w:rPr>
      </w:pPr>
      <w:r>
        <w:rPr>
          <w:rStyle w:val="16"/>
          <w:rFonts w:hint="eastAsia" w:ascii="仿宋" w:hAnsi="仿宋" w:eastAsia="仿宋"/>
          <w:bCs/>
          <w:color w:val="auto"/>
          <w:sz w:val="32"/>
          <w:szCs w:val="32"/>
          <w:highlight w:val="none"/>
          <w:lang w:val="en-US" w:eastAsia="zh-CN"/>
        </w:rPr>
        <w:t>6</w:t>
      </w:r>
      <w:r>
        <w:rPr>
          <w:rStyle w:val="16"/>
          <w:rFonts w:ascii="仿宋" w:hAnsi="仿宋" w:eastAsia="仿宋"/>
          <w:bCs/>
          <w:color w:val="auto"/>
          <w:sz w:val="32"/>
          <w:szCs w:val="32"/>
          <w:highlight w:val="none"/>
        </w:rPr>
        <w:t>.</w:t>
      </w:r>
      <w:r>
        <w:rPr>
          <w:rFonts w:hint="eastAsia" w:ascii="仿宋" w:hAnsi="仿宋" w:eastAsia="仿宋"/>
          <w:b/>
          <w:bCs/>
          <w:color w:val="auto"/>
          <w:sz w:val="32"/>
          <w:szCs w:val="32"/>
          <w:highlight w:val="none"/>
          <w:lang w:eastAsia="zh-CN"/>
        </w:rPr>
        <w:t>住房保障支出</w:t>
      </w:r>
      <w:r>
        <w:rPr>
          <w:rStyle w:val="16"/>
          <w:rFonts w:hint="eastAsia" w:ascii="仿宋" w:hAnsi="仿宋" w:eastAsia="仿宋"/>
          <w:bCs/>
          <w:color w:val="auto"/>
          <w:sz w:val="32"/>
          <w:szCs w:val="32"/>
          <w:highlight w:val="none"/>
        </w:rPr>
        <w:t>（类）</w:t>
      </w:r>
      <w:r>
        <w:rPr>
          <w:rStyle w:val="16"/>
          <w:rFonts w:hint="eastAsia" w:ascii="仿宋" w:hAnsi="仿宋" w:eastAsia="仿宋"/>
          <w:bCs/>
          <w:color w:val="auto"/>
          <w:sz w:val="32"/>
          <w:szCs w:val="32"/>
          <w:highlight w:val="none"/>
          <w:lang w:eastAsia="zh-CN"/>
        </w:rPr>
        <w:t>住房改革支出</w:t>
      </w:r>
      <w:r>
        <w:rPr>
          <w:rStyle w:val="16"/>
          <w:rFonts w:hint="eastAsia" w:ascii="仿宋" w:hAnsi="仿宋" w:eastAsia="仿宋"/>
          <w:bCs/>
          <w:color w:val="auto"/>
          <w:sz w:val="32"/>
          <w:szCs w:val="32"/>
          <w:highlight w:val="none"/>
        </w:rPr>
        <w:t>（款）</w:t>
      </w:r>
      <w:r>
        <w:rPr>
          <w:rStyle w:val="16"/>
          <w:rFonts w:hint="eastAsia" w:ascii="仿宋" w:hAnsi="仿宋" w:eastAsia="仿宋"/>
          <w:bCs/>
          <w:color w:val="auto"/>
          <w:sz w:val="32"/>
          <w:szCs w:val="32"/>
          <w:highlight w:val="none"/>
          <w:lang w:eastAsia="zh-CN"/>
        </w:rPr>
        <w:t>住房公积金</w:t>
      </w:r>
      <w:r>
        <w:rPr>
          <w:rStyle w:val="16"/>
          <w:rFonts w:hint="eastAsia" w:ascii="仿宋" w:hAnsi="仿宋" w:eastAsia="仿宋"/>
          <w:bCs/>
          <w:color w:val="auto"/>
          <w:sz w:val="32"/>
          <w:szCs w:val="32"/>
          <w:highlight w:val="none"/>
        </w:rPr>
        <w:t>（项）</w:t>
      </w:r>
      <w:r>
        <w:rPr>
          <w:rStyle w:val="16"/>
          <w:rFonts w:ascii="仿宋" w:hAnsi="仿宋" w:eastAsia="仿宋"/>
          <w:bCs/>
          <w:color w:val="auto"/>
          <w:sz w:val="32"/>
          <w:szCs w:val="32"/>
          <w:highlight w:val="none"/>
        </w:rPr>
        <w:t>:</w:t>
      </w:r>
      <w:r>
        <w:rPr>
          <w:rStyle w:val="16"/>
          <w:rFonts w:hint="eastAsia" w:ascii="仿宋" w:hAnsi="仿宋" w:eastAsia="仿宋"/>
          <w:b w:val="0"/>
          <w:bCs/>
          <w:color w:val="auto"/>
          <w:sz w:val="32"/>
          <w:szCs w:val="32"/>
          <w:highlight w:val="none"/>
        </w:rPr>
        <w:t>支出决算为</w:t>
      </w:r>
      <w:r>
        <w:rPr>
          <w:rStyle w:val="16"/>
          <w:rFonts w:hint="eastAsia" w:ascii="仿宋" w:hAnsi="仿宋" w:eastAsia="仿宋"/>
          <w:b w:val="0"/>
          <w:bCs/>
          <w:color w:val="auto"/>
          <w:sz w:val="32"/>
          <w:szCs w:val="32"/>
          <w:highlight w:val="none"/>
          <w:lang w:val="en-US" w:eastAsia="zh-CN"/>
        </w:rPr>
        <w:t>3</w:t>
      </w:r>
      <w:r>
        <w:rPr>
          <w:rStyle w:val="16"/>
          <w:rFonts w:hint="default" w:ascii="仿宋" w:hAnsi="仿宋" w:eastAsia="仿宋"/>
          <w:b w:val="0"/>
          <w:bCs/>
          <w:color w:val="auto"/>
          <w:sz w:val="32"/>
          <w:szCs w:val="32"/>
          <w:highlight w:val="none"/>
          <w:lang w:eastAsia="zh-CN"/>
        </w:rPr>
        <w:t>0</w:t>
      </w:r>
      <w:r>
        <w:rPr>
          <w:rStyle w:val="16"/>
          <w:rFonts w:hint="eastAsia" w:ascii="仿宋" w:hAnsi="仿宋" w:eastAsia="仿宋"/>
          <w:b w:val="0"/>
          <w:bCs/>
          <w:color w:val="auto"/>
          <w:sz w:val="32"/>
          <w:szCs w:val="32"/>
          <w:highlight w:val="none"/>
          <w:lang w:val="en-US" w:eastAsia="zh-CN"/>
        </w:rPr>
        <w:t>.29</w:t>
      </w:r>
      <w:r>
        <w:rPr>
          <w:rStyle w:val="16"/>
          <w:rFonts w:hint="eastAsia" w:ascii="仿宋" w:hAnsi="仿宋" w:eastAsia="仿宋"/>
          <w:b w:val="0"/>
          <w:bCs/>
          <w:color w:val="auto"/>
          <w:sz w:val="32"/>
          <w:szCs w:val="32"/>
          <w:highlight w:val="none"/>
        </w:rPr>
        <w:t>万元，完成预算</w:t>
      </w:r>
      <w:r>
        <w:rPr>
          <w:rStyle w:val="16"/>
          <w:rFonts w:hint="eastAsia" w:ascii="仿宋" w:hAnsi="仿宋" w:eastAsia="仿宋"/>
          <w:b w:val="0"/>
          <w:bCs/>
          <w:color w:val="auto"/>
          <w:sz w:val="32"/>
          <w:szCs w:val="32"/>
          <w:highlight w:val="none"/>
          <w:lang w:val="en-US" w:eastAsia="zh-CN"/>
        </w:rPr>
        <w:t>100</w:t>
      </w:r>
      <w:r>
        <w:rPr>
          <w:rStyle w:val="16"/>
          <w:rFonts w:ascii="仿宋" w:hAnsi="仿宋" w:eastAsia="仿宋"/>
          <w:b w:val="0"/>
          <w:bCs/>
          <w:color w:val="auto"/>
          <w:sz w:val="32"/>
          <w:szCs w:val="32"/>
          <w:highlight w:val="none"/>
        </w:rPr>
        <w:t>%</w:t>
      </w:r>
      <w:r>
        <w:rPr>
          <w:rStyle w:val="16"/>
          <w:rFonts w:hint="eastAsia" w:ascii="仿宋" w:hAnsi="仿宋" w:eastAsia="仿宋"/>
          <w:b w:val="0"/>
          <w:bCs/>
          <w:color w:val="auto"/>
          <w:sz w:val="32"/>
          <w:szCs w:val="32"/>
          <w:highlight w:val="none"/>
        </w:rPr>
        <w:t>，决算数等于预算数。</w:t>
      </w:r>
    </w:p>
    <w:p>
      <w:pPr>
        <w:tabs>
          <w:tab w:val="right" w:pos="8306"/>
        </w:tabs>
        <w:spacing w:line="600" w:lineRule="exact"/>
        <w:ind w:firstLine="640"/>
        <w:outlineLvl w:val="1"/>
        <w:rPr>
          <w:rStyle w:val="27"/>
          <w:color w:val="auto"/>
          <w:highlight w:val="none"/>
        </w:rPr>
      </w:pPr>
      <w:bookmarkStart w:id="43" w:name="_Toc17470"/>
      <w:bookmarkStart w:id="44" w:name="_Toc15377214"/>
      <w:bookmarkStart w:id="45" w:name="_Toc15396608"/>
      <w:r>
        <w:rPr>
          <w:rFonts w:hint="eastAsia" w:ascii="黑体" w:eastAsia="黑体"/>
          <w:color w:val="auto"/>
          <w:sz w:val="32"/>
          <w:szCs w:val="32"/>
          <w:highlight w:val="none"/>
        </w:rPr>
        <w:t>六</w:t>
      </w:r>
      <w:r>
        <w:rPr>
          <w:rFonts w:hint="eastAsia" w:ascii="黑体" w:eastAsia="黑体"/>
          <w:b/>
          <w:color w:val="auto"/>
          <w:sz w:val="32"/>
          <w:szCs w:val="32"/>
          <w:highlight w:val="none"/>
        </w:rPr>
        <w:t>、</w:t>
      </w:r>
      <w:r>
        <w:rPr>
          <w:rFonts w:hint="eastAsia" w:ascii="黑体" w:hAnsi="黑体" w:eastAsia="黑体"/>
          <w:b/>
          <w:color w:val="auto"/>
          <w:sz w:val="32"/>
          <w:szCs w:val="32"/>
          <w:highlight w:val="none"/>
        </w:rPr>
        <w:t>一</w:t>
      </w:r>
      <w:r>
        <w:rPr>
          <w:rStyle w:val="27"/>
          <w:rFonts w:hint="eastAsia" w:ascii="黑体" w:hAnsi="黑体" w:eastAsia="黑体"/>
          <w:b w:val="0"/>
          <w:color w:val="auto"/>
          <w:highlight w:val="none"/>
        </w:rPr>
        <w:t>般公共预算财政拨款基本支出决算情况说明</w:t>
      </w:r>
      <w:bookmarkEnd w:id="43"/>
      <w:bookmarkEnd w:id="44"/>
      <w:bookmarkEnd w:id="45"/>
      <w:r>
        <w:rPr>
          <w:rStyle w:val="27"/>
          <w:rFonts w:ascii="黑体" w:hAnsi="黑体" w:eastAsia="黑体"/>
          <w:b w:val="0"/>
          <w:color w:val="auto"/>
          <w:highlight w:val="none"/>
        </w:rPr>
        <w:tab/>
      </w:r>
    </w:p>
    <w:p>
      <w:pPr>
        <w:spacing w:line="600" w:lineRule="exact"/>
        <w:ind w:firstLine="645"/>
        <w:rPr>
          <w:rFonts w:ascii="仿宋" w:hAnsi="仿宋" w:eastAsia="仿宋"/>
          <w:color w:val="auto"/>
          <w:sz w:val="32"/>
          <w:szCs w:val="32"/>
          <w:highlight w:val="none"/>
        </w:rPr>
      </w:pPr>
      <w:r>
        <w:rPr>
          <w:rFonts w:ascii="仿宋" w:hAnsi="仿宋" w:eastAsia="仿宋"/>
          <w:color w:val="auto"/>
          <w:sz w:val="32"/>
          <w:szCs w:val="32"/>
          <w:highlight w:val="none"/>
        </w:rPr>
        <w:t>20</w:t>
      </w:r>
      <w:r>
        <w:rPr>
          <w:rFonts w:hint="eastAsia" w:ascii="仿宋" w:hAnsi="仿宋" w:eastAsia="仿宋"/>
          <w:color w:val="auto"/>
          <w:sz w:val="32"/>
          <w:szCs w:val="32"/>
          <w:highlight w:val="none"/>
          <w:lang w:val="en-US" w:eastAsia="zh-CN"/>
        </w:rPr>
        <w:t>22</w:t>
      </w:r>
      <w:r>
        <w:rPr>
          <w:rFonts w:hint="eastAsia" w:ascii="仿宋" w:hAnsi="仿宋" w:eastAsia="仿宋"/>
          <w:color w:val="auto"/>
          <w:sz w:val="32"/>
          <w:szCs w:val="32"/>
          <w:highlight w:val="none"/>
        </w:rPr>
        <w:t>年一般公共预算财政拨款基本支出</w:t>
      </w:r>
      <w:r>
        <w:rPr>
          <w:rFonts w:hint="eastAsia" w:ascii="仿宋" w:hAnsi="仿宋" w:eastAsia="仿宋"/>
          <w:color w:val="auto"/>
          <w:sz w:val="32"/>
          <w:szCs w:val="32"/>
          <w:highlight w:val="none"/>
          <w:lang w:val="en-US" w:eastAsia="zh-CN"/>
        </w:rPr>
        <w:t>342.06</w:t>
      </w:r>
      <w:r>
        <w:rPr>
          <w:rFonts w:hint="eastAsia" w:ascii="仿宋" w:hAnsi="仿宋" w:eastAsia="仿宋"/>
          <w:color w:val="auto"/>
          <w:sz w:val="32"/>
          <w:szCs w:val="32"/>
          <w:highlight w:val="none"/>
        </w:rPr>
        <w:t>万元，其中：</w:t>
      </w:r>
    </w:p>
    <w:p>
      <w:pPr>
        <w:spacing w:line="600" w:lineRule="exact"/>
        <w:ind w:firstLine="645"/>
        <w:rPr>
          <w:rFonts w:hint="eastAsia" w:ascii="仿宋" w:hAnsi="仿宋" w:eastAsia="仿宋"/>
          <w:color w:val="auto"/>
          <w:sz w:val="32"/>
          <w:szCs w:val="32"/>
          <w:highlight w:val="none"/>
        </w:rPr>
      </w:pPr>
      <w:r>
        <w:rPr>
          <w:rFonts w:hint="eastAsia" w:ascii="仿宋" w:hAnsi="仿宋" w:eastAsia="仿宋"/>
          <w:color w:val="auto"/>
          <w:sz w:val="32"/>
          <w:szCs w:val="32"/>
          <w:highlight w:val="none"/>
        </w:rPr>
        <w:t>人员经费</w:t>
      </w:r>
      <w:r>
        <w:rPr>
          <w:rFonts w:hint="eastAsia" w:ascii="仿宋" w:hAnsi="仿宋" w:eastAsia="仿宋"/>
          <w:color w:val="auto"/>
          <w:sz w:val="32"/>
          <w:szCs w:val="32"/>
          <w:highlight w:val="none"/>
          <w:lang w:val="en-US" w:eastAsia="zh-CN"/>
        </w:rPr>
        <w:t>317.91</w:t>
      </w:r>
      <w:r>
        <w:rPr>
          <w:rFonts w:hint="eastAsia" w:ascii="仿宋" w:hAnsi="仿宋" w:eastAsia="仿宋"/>
          <w:color w:val="auto"/>
          <w:sz w:val="32"/>
          <w:szCs w:val="32"/>
          <w:highlight w:val="none"/>
        </w:rPr>
        <w:t>万元，主要包括：基本工资、津贴补贴、奖金、绩效工资、机关事业单位基本养老保险缴费、</w:t>
      </w:r>
      <w:r>
        <w:rPr>
          <w:rFonts w:hint="eastAsia" w:ascii="仿宋" w:hAnsi="仿宋" w:eastAsia="仿宋"/>
          <w:color w:val="auto"/>
          <w:sz w:val="32"/>
          <w:szCs w:val="32"/>
          <w:highlight w:val="none"/>
          <w:lang w:eastAsia="zh-CN"/>
        </w:rPr>
        <w:t>职工基本医疗保险缴费、</w:t>
      </w:r>
      <w:r>
        <w:rPr>
          <w:rFonts w:hint="eastAsia" w:ascii="仿宋" w:hAnsi="仿宋" w:eastAsia="仿宋"/>
          <w:color w:val="auto"/>
          <w:sz w:val="32"/>
          <w:szCs w:val="32"/>
          <w:highlight w:val="none"/>
        </w:rPr>
        <w:t>其他社会保障缴费、生活补助、住房公积金等。</w:t>
      </w:r>
      <w:r>
        <w:rPr>
          <w:rFonts w:ascii="仿宋" w:hAnsi="仿宋" w:eastAsia="仿宋"/>
          <w:color w:val="auto"/>
          <w:sz w:val="32"/>
          <w:szCs w:val="32"/>
          <w:highlight w:val="none"/>
        </w:rPr>
        <w:br w:type="textWrapping"/>
      </w:r>
      <w:r>
        <w:rPr>
          <w:rFonts w:hint="eastAsia" w:ascii="仿宋" w:hAnsi="仿宋" w:eastAsia="仿宋"/>
          <w:color w:val="auto"/>
          <w:sz w:val="32"/>
          <w:szCs w:val="32"/>
          <w:highlight w:val="none"/>
        </w:rPr>
        <w:t>　　公用经费</w:t>
      </w:r>
      <w:r>
        <w:rPr>
          <w:rFonts w:hint="eastAsia" w:ascii="仿宋" w:hAnsi="仿宋" w:eastAsia="仿宋"/>
          <w:color w:val="auto"/>
          <w:sz w:val="32"/>
          <w:szCs w:val="32"/>
          <w:highlight w:val="none"/>
          <w:lang w:val="en-US" w:eastAsia="zh-CN"/>
        </w:rPr>
        <w:t>24.15</w:t>
      </w:r>
      <w:r>
        <w:rPr>
          <w:rFonts w:hint="eastAsia" w:ascii="仿宋" w:hAnsi="仿宋" w:eastAsia="仿宋"/>
          <w:color w:val="auto"/>
          <w:sz w:val="32"/>
          <w:szCs w:val="32"/>
          <w:highlight w:val="none"/>
        </w:rPr>
        <w:t>万元，主要包括：办公费、邮电费、差旅费、维修（护）费、公务接待费、劳务费、委托业务费、工会经费、福利费等。</w:t>
      </w:r>
    </w:p>
    <w:p>
      <w:pPr>
        <w:pStyle w:val="2"/>
      </w:pPr>
    </w:p>
    <w:p>
      <w:pPr>
        <w:spacing w:line="600" w:lineRule="exact"/>
        <w:ind w:firstLine="640"/>
        <w:outlineLvl w:val="1"/>
        <w:rPr>
          <w:rStyle w:val="27"/>
          <w:rFonts w:ascii="黑体" w:hAnsi="黑体" w:eastAsia="黑体"/>
          <w:b w:val="0"/>
          <w:color w:val="auto"/>
          <w:highlight w:val="none"/>
        </w:rPr>
      </w:pPr>
      <w:bookmarkStart w:id="46" w:name="_Toc15396609"/>
      <w:bookmarkStart w:id="47" w:name="_Toc5152"/>
      <w:bookmarkStart w:id="48" w:name="_Toc15377215"/>
      <w:r>
        <w:rPr>
          <w:rFonts w:hint="eastAsia" w:ascii="黑体" w:eastAsia="黑体"/>
          <w:color w:val="auto"/>
          <w:sz w:val="32"/>
          <w:szCs w:val="32"/>
          <w:highlight w:val="none"/>
        </w:rPr>
        <w:t>七、</w:t>
      </w:r>
      <w:r>
        <w:rPr>
          <w:rStyle w:val="27"/>
          <w:rFonts w:hint="eastAsia" w:ascii="黑体" w:hAnsi="黑体" w:eastAsia="黑体"/>
          <w:b w:val="0"/>
          <w:color w:val="auto"/>
          <w:highlight w:val="none"/>
        </w:rPr>
        <w:t>财政拨款</w:t>
      </w:r>
      <w:r>
        <w:rPr>
          <w:rStyle w:val="27"/>
          <w:rFonts w:hint="eastAsia" w:ascii="黑体" w:hAnsi="黑体" w:eastAsia="黑体"/>
          <w:color w:val="auto"/>
          <w:highlight w:val="none"/>
        </w:rPr>
        <w:t>“</w:t>
      </w:r>
      <w:r>
        <w:rPr>
          <w:rStyle w:val="27"/>
          <w:rFonts w:hint="eastAsia" w:ascii="黑体" w:hAnsi="黑体" w:eastAsia="黑体"/>
          <w:b w:val="0"/>
          <w:color w:val="auto"/>
          <w:highlight w:val="none"/>
        </w:rPr>
        <w:t>三公”经费支出决算情况说明</w:t>
      </w:r>
      <w:bookmarkEnd w:id="46"/>
      <w:bookmarkEnd w:id="47"/>
      <w:bookmarkEnd w:id="48"/>
    </w:p>
    <w:p>
      <w:pPr>
        <w:spacing w:line="600" w:lineRule="exact"/>
        <w:ind w:firstLine="640"/>
        <w:outlineLvl w:val="2"/>
        <w:rPr>
          <w:rFonts w:ascii="仿宋" w:hAnsi="仿宋" w:eastAsia="仿宋"/>
          <w:b/>
          <w:color w:val="auto"/>
          <w:sz w:val="32"/>
          <w:szCs w:val="32"/>
          <w:highlight w:val="none"/>
        </w:rPr>
      </w:pPr>
      <w:bookmarkStart w:id="49" w:name="_Toc15377216"/>
      <w:r>
        <w:rPr>
          <w:rFonts w:hint="eastAsia" w:ascii="仿宋" w:hAnsi="仿宋" w:eastAsia="仿宋"/>
          <w:b/>
          <w:color w:val="auto"/>
          <w:sz w:val="32"/>
          <w:szCs w:val="32"/>
          <w:highlight w:val="none"/>
        </w:rPr>
        <w:t>（一）“三公”经费财政拨款支出决算总体情况说明</w:t>
      </w:r>
      <w:bookmarkEnd w:id="49"/>
    </w:p>
    <w:p>
      <w:pPr>
        <w:spacing w:line="600" w:lineRule="exact"/>
        <w:ind w:firstLine="640"/>
        <w:rPr>
          <w:rFonts w:ascii="仿宋" w:hAnsi="仿宋" w:eastAsia="仿宋"/>
          <w:b/>
          <w:color w:val="auto"/>
          <w:sz w:val="32"/>
          <w:szCs w:val="32"/>
          <w:highlight w:val="none"/>
        </w:rPr>
      </w:pPr>
      <w:r>
        <w:rPr>
          <w:rFonts w:ascii="仿宋" w:hAnsi="仿宋" w:eastAsia="仿宋"/>
          <w:color w:val="auto"/>
          <w:sz w:val="32"/>
          <w:szCs w:val="32"/>
          <w:highlight w:val="none"/>
        </w:rPr>
        <w:t>20</w:t>
      </w:r>
      <w:r>
        <w:rPr>
          <w:rFonts w:hint="eastAsia" w:ascii="仿宋" w:hAnsi="仿宋" w:eastAsia="仿宋"/>
          <w:color w:val="auto"/>
          <w:sz w:val="32"/>
          <w:szCs w:val="32"/>
          <w:highlight w:val="none"/>
          <w:lang w:val="en-US" w:eastAsia="zh-CN"/>
        </w:rPr>
        <w:t>22</w:t>
      </w:r>
      <w:r>
        <w:rPr>
          <w:rFonts w:hint="eastAsia" w:ascii="仿宋" w:hAnsi="仿宋" w:eastAsia="仿宋"/>
          <w:color w:val="auto"/>
          <w:sz w:val="32"/>
          <w:szCs w:val="32"/>
          <w:highlight w:val="none"/>
        </w:rPr>
        <w:t>年“三公”经费财政拨款支出决算为</w:t>
      </w:r>
      <w:r>
        <w:rPr>
          <w:rFonts w:hint="eastAsia" w:ascii="仿宋" w:hAnsi="仿宋" w:eastAsia="仿宋"/>
          <w:color w:val="auto"/>
          <w:sz w:val="32"/>
          <w:szCs w:val="32"/>
          <w:highlight w:val="none"/>
          <w:lang w:val="en-US" w:eastAsia="zh-CN"/>
        </w:rPr>
        <w:t>0.08</w:t>
      </w:r>
      <w:r>
        <w:rPr>
          <w:rFonts w:hint="eastAsia" w:ascii="仿宋" w:hAnsi="仿宋" w:eastAsia="仿宋"/>
          <w:color w:val="auto"/>
          <w:sz w:val="32"/>
          <w:szCs w:val="32"/>
          <w:highlight w:val="none"/>
        </w:rPr>
        <w:t>万元，完成预算</w:t>
      </w:r>
      <w:r>
        <w:rPr>
          <w:rFonts w:hint="eastAsia" w:ascii="仿宋" w:hAnsi="仿宋" w:eastAsia="仿宋"/>
          <w:color w:val="auto"/>
          <w:sz w:val="32"/>
          <w:szCs w:val="32"/>
          <w:highlight w:val="none"/>
          <w:lang w:val="en-US" w:eastAsia="zh-CN"/>
        </w:rPr>
        <w:t>100</w:t>
      </w:r>
      <w:r>
        <w:rPr>
          <w:rFonts w:ascii="仿宋" w:hAnsi="仿宋" w:eastAsia="仿宋"/>
          <w:color w:val="auto"/>
          <w:sz w:val="32"/>
          <w:szCs w:val="32"/>
          <w:highlight w:val="none"/>
        </w:rPr>
        <w:t>%</w:t>
      </w:r>
      <w:r>
        <w:rPr>
          <w:rFonts w:hint="eastAsia" w:ascii="仿宋" w:hAnsi="仿宋" w:eastAsia="仿宋"/>
          <w:color w:val="auto"/>
          <w:sz w:val="32"/>
          <w:szCs w:val="32"/>
          <w:highlight w:val="none"/>
        </w:rPr>
        <w:t>，</w:t>
      </w:r>
      <w:r>
        <w:rPr>
          <w:rFonts w:hint="eastAsia" w:ascii="仿宋" w:hAnsi="仿宋" w:eastAsia="仿宋"/>
          <w:color w:val="auto"/>
          <w:sz w:val="32"/>
          <w:szCs w:val="32"/>
          <w:highlight w:val="none"/>
          <w:lang w:eastAsia="zh-CN"/>
        </w:rPr>
        <w:t>较上年</w:t>
      </w:r>
      <w:r>
        <w:rPr>
          <w:rFonts w:hint="eastAsia" w:ascii="仿宋" w:hAnsi="仿宋" w:eastAsia="仿宋"/>
          <w:color w:val="auto"/>
          <w:sz w:val="32"/>
          <w:szCs w:val="32"/>
          <w:highlight w:val="none"/>
          <w:lang w:val="en-US" w:eastAsia="zh-CN"/>
        </w:rPr>
        <w:t>减少0.44万元，下降84.61%。</w:t>
      </w:r>
      <w:r>
        <w:rPr>
          <w:rFonts w:hint="eastAsia" w:ascii="仿宋" w:hAnsi="仿宋" w:eastAsia="仿宋"/>
          <w:color w:val="auto"/>
          <w:sz w:val="32"/>
          <w:szCs w:val="32"/>
          <w:highlight w:val="none"/>
        </w:rPr>
        <w:t>决算</w:t>
      </w:r>
      <w:r>
        <w:rPr>
          <w:rFonts w:hint="eastAsia" w:ascii="仿宋" w:hAnsi="仿宋" w:eastAsia="仿宋"/>
          <w:color w:val="auto"/>
          <w:sz w:val="32"/>
          <w:szCs w:val="32"/>
          <w:highlight w:val="none"/>
          <w:lang w:eastAsia="zh-CN"/>
        </w:rPr>
        <w:t>数与预算数持平。</w:t>
      </w:r>
    </w:p>
    <w:p>
      <w:pPr>
        <w:spacing w:line="600" w:lineRule="exact"/>
        <w:ind w:firstLine="640"/>
        <w:outlineLvl w:val="2"/>
        <w:rPr>
          <w:rFonts w:ascii="仿宋" w:hAnsi="仿宋" w:eastAsia="仿宋"/>
          <w:b/>
          <w:color w:val="auto"/>
          <w:sz w:val="32"/>
          <w:szCs w:val="32"/>
          <w:highlight w:val="none"/>
        </w:rPr>
      </w:pPr>
      <w:bookmarkStart w:id="50" w:name="_Toc15377217"/>
      <w:r>
        <w:rPr>
          <w:rFonts w:hint="eastAsia" w:ascii="仿宋" w:hAnsi="仿宋" w:eastAsia="仿宋"/>
          <w:b/>
          <w:color w:val="auto"/>
          <w:sz w:val="32"/>
          <w:szCs w:val="32"/>
          <w:highlight w:val="none"/>
        </w:rPr>
        <w:t>（二）“三公”经费财政拨款支出决算具体情况说明</w:t>
      </w:r>
      <w:bookmarkEnd w:id="50"/>
    </w:p>
    <w:p>
      <w:pPr>
        <w:spacing w:line="600" w:lineRule="exact"/>
        <w:ind w:firstLine="640"/>
        <w:rPr>
          <w:rFonts w:ascii="仿宋" w:hAnsi="仿宋" w:eastAsia="仿宋"/>
          <w:color w:val="auto"/>
          <w:sz w:val="32"/>
          <w:szCs w:val="32"/>
          <w:highlight w:val="none"/>
        </w:rPr>
      </w:pPr>
      <w:r>
        <w:rPr>
          <w:rFonts w:ascii="仿宋" w:hAnsi="仿宋" w:eastAsia="仿宋"/>
          <w:color w:val="auto"/>
          <w:sz w:val="32"/>
          <w:szCs w:val="32"/>
          <w:highlight w:val="none"/>
        </w:rPr>
        <w:t>20</w:t>
      </w:r>
      <w:r>
        <w:rPr>
          <w:rFonts w:hint="eastAsia" w:ascii="仿宋" w:hAnsi="仿宋" w:eastAsia="仿宋"/>
          <w:color w:val="auto"/>
          <w:sz w:val="32"/>
          <w:szCs w:val="32"/>
          <w:highlight w:val="none"/>
          <w:lang w:val="en-US" w:eastAsia="zh-CN"/>
        </w:rPr>
        <w:t>22</w:t>
      </w:r>
      <w:r>
        <w:rPr>
          <w:rFonts w:hint="eastAsia" w:ascii="仿宋" w:hAnsi="仿宋" w:eastAsia="仿宋"/>
          <w:color w:val="auto"/>
          <w:sz w:val="32"/>
          <w:szCs w:val="32"/>
          <w:highlight w:val="none"/>
        </w:rPr>
        <w:t>年“三公”经费财政拨款支出决算中，因公出国（境）费支出决算</w:t>
      </w:r>
      <w:r>
        <w:rPr>
          <w:rFonts w:hint="eastAsia" w:ascii="仿宋" w:hAnsi="仿宋" w:eastAsia="仿宋"/>
          <w:color w:val="auto"/>
          <w:sz w:val="32"/>
          <w:szCs w:val="32"/>
          <w:highlight w:val="none"/>
          <w:lang w:val="en-US" w:eastAsia="zh-CN"/>
        </w:rPr>
        <w:t>0</w:t>
      </w:r>
      <w:r>
        <w:rPr>
          <w:rFonts w:hint="eastAsia" w:ascii="仿宋" w:hAnsi="仿宋" w:eastAsia="仿宋"/>
          <w:color w:val="auto"/>
          <w:sz w:val="32"/>
          <w:szCs w:val="32"/>
          <w:highlight w:val="none"/>
        </w:rPr>
        <w:t>万元，占</w:t>
      </w:r>
      <w:r>
        <w:rPr>
          <w:rFonts w:hint="eastAsia" w:ascii="仿宋" w:hAnsi="仿宋" w:eastAsia="仿宋"/>
          <w:color w:val="auto"/>
          <w:sz w:val="32"/>
          <w:szCs w:val="32"/>
          <w:highlight w:val="none"/>
          <w:lang w:val="en-US" w:eastAsia="zh-CN"/>
        </w:rPr>
        <w:t>0</w:t>
      </w:r>
      <w:r>
        <w:rPr>
          <w:rFonts w:ascii="仿宋" w:hAnsi="仿宋" w:eastAsia="仿宋"/>
          <w:color w:val="auto"/>
          <w:sz w:val="32"/>
          <w:szCs w:val="32"/>
          <w:highlight w:val="none"/>
        </w:rPr>
        <w:t>%</w:t>
      </w:r>
      <w:r>
        <w:rPr>
          <w:rFonts w:hint="eastAsia" w:ascii="仿宋" w:hAnsi="仿宋" w:eastAsia="仿宋"/>
          <w:color w:val="auto"/>
          <w:sz w:val="32"/>
          <w:szCs w:val="32"/>
          <w:highlight w:val="none"/>
        </w:rPr>
        <w:t>；公务用车购置及运行维护费支出决算</w:t>
      </w:r>
      <w:r>
        <w:rPr>
          <w:rFonts w:hint="eastAsia" w:ascii="仿宋" w:hAnsi="仿宋" w:eastAsia="仿宋"/>
          <w:color w:val="auto"/>
          <w:sz w:val="32"/>
          <w:szCs w:val="32"/>
          <w:highlight w:val="none"/>
          <w:lang w:val="en-US" w:eastAsia="zh-CN"/>
        </w:rPr>
        <w:t>0</w:t>
      </w:r>
      <w:r>
        <w:rPr>
          <w:rFonts w:hint="eastAsia" w:ascii="仿宋" w:hAnsi="仿宋" w:eastAsia="仿宋"/>
          <w:color w:val="auto"/>
          <w:sz w:val="32"/>
          <w:szCs w:val="32"/>
          <w:highlight w:val="none"/>
        </w:rPr>
        <w:t>万元，占</w:t>
      </w:r>
      <w:r>
        <w:rPr>
          <w:rFonts w:hint="eastAsia" w:ascii="仿宋" w:hAnsi="仿宋" w:eastAsia="仿宋"/>
          <w:color w:val="auto"/>
          <w:sz w:val="32"/>
          <w:szCs w:val="32"/>
          <w:highlight w:val="none"/>
          <w:lang w:val="en-US" w:eastAsia="zh-CN"/>
        </w:rPr>
        <w:t>0</w:t>
      </w:r>
      <w:r>
        <w:rPr>
          <w:rFonts w:ascii="仿宋" w:hAnsi="仿宋" w:eastAsia="仿宋"/>
          <w:color w:val="auto"/>
          <w:sz w:val="32"/>
          <w:szCs w:val="32"/>
          <w:highlight w:val="none"/>
        </w:rPr>
        <w:t>%</w:t>
      </w:r>
      <w:r>
        <w:rPr>
          <w:rFonts w:hint="eastAsia" w:ascii="仿宋" w:hAnsi="仿宋" w:eastAsia="仿宋"/>
          <w:color w:val="auto"/>
          <w:sz w:val="32"/>
          <w:szCs w:val="32"/>
          <w:highlight w:val="none"/>
        </w:rPr>
        <w:t>；公务接待费支出决算</w:t>
      </w:r>
      <w:r>
        <w:rPr>
          <w:rFonts w:hint="eastAsia" w:ascii="仿宋" w:hAnsi="仿宋" w:eastAsia="仿宋"/>
          <w:color w:val="auto"/>
          <w:sz w:val="32"/>
          <w:szCs w:val="32"/>
          <w:highlight w:val="none"/>
          <w:lang w:val="en-US" w:eastAsia="zh-CN"/>
        </w:rPr>
        <w:t>0.08</w:t>
      </w:r>
      <w:r>
        <w:rPr>
          <w:rFonts w:hint="eastAsia" w:ascii="仿宋" w:hAnsi="仿宋" w:eastAsia="仿宋"/>
          <w:color w:val="auto"/>
          <w:sz w:val="32"/>
          <w:szCs w:val="32"/>
          <w:highlight w:val="none"/>
        </w:rPr>
        <w:t>万元，占</w:t>
      </w:r>
      <w:r>
        <w:rPr>
          <w:rFonts w:hint="eastAsia" w:ascii="仿宋" w:hAnsi="仿宋" w:eastAsia="仿宋"/>
          <w:color w:val="auto"/>
          <w:sz w:val="32"/>
          <w:szCs w:val="32"/>
          <w:highlight w:val="none"/>
          <w:lang w:val="en-US" w:eastAsia="zh-CN"/>
        </w:rPr>
        <w:t>100</w:t>
      </w:r>
      <w:r>
        <w:rPr>
          <w:rFonts w:ascii="仿宋" w:hAnsi="仿宋" w:eastAsia="仿宋"/>
          <w:color w:val="auto"/>
          <w:sz w:val="32"/>
          <w:szCs w:val="32"/>
          <w:highlight w:val="none"/>
        </w:rPr>
        <w:t>%</w:t>
      </w:r>
      <w:r>
        <w:rPr>
          <w:rFonts w:hint="eastAsia" w:ascii="仿宋" w:hAnsi="仿宋" w:eastAsia="仿宋"/>
          <w:color w:val="auto"/>
          <w:sz w:val="32"/>
          <w:szCs w:val="32"/>
          <w:highlight w:val="none"/>
        </w:rPr>
        <w:t>。具体情况如下：</w:t>
      </w:r>
    </w:p>
    <w:p>
      <w:pPr>
        <w:pStyle w:val="2"/>
        <w:rPr>
          <w:rFonts w:hint="eastAsia" w:ascii="仿宋" w:hAnsi="仿宋" w:eastAsia="仿宋"/>
          <w:color w:val="auto"/>
          <w:sz w:val="32"/>
          <w:szCs w:val="32"/>
          <w:highlight w:val="none"/>
        </w:rPr>
      </w:pPr>
    </w:p>
    <w:p>
      <w:pPr>
        <w:pStyle w:val="2"/>
        <w:rPr>
          <w:rFonts w:hint="eastAsia" w:ascii="仿宋" w:hAnsi="仿宋" w:eastAsia="仿宋"/>
          <w:color w:val="auto"/>
          <w:sz w:val="32"/>
          <w:szCs w:val="32"/>
          <w:highlight w:val="none"/>
          <w:lang w:eastAsia="zh-CN"/>
        </w:rPr>
      </w:pPr>
      <w:r>
        <w:rPr>
          <w:rFonts w:hint="eastAsia" w:ascii="仿宋" w:hAnsi="仿宋" w:eastAsia="仿宋"/>
          <w:color w:val="auto"/>
          <w:sz w:val="32"/>
          <w:szCs w:val="32"/>
          <w:highlight w:val="none"/>
          <w:lang w:eastAsia="zh-CN"/>
        </w:rPr>
        <w:drawing>
          <wp:inline distT="0" distB="0" distL="114300" distR="114300">
            <wp:extent cx="5256530" cy="2988310"/>
            <wp:effectExtent l="5080" t="4445" r="15240" b="17145"/>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spacing w:line="600" w:lineRule="exact"/>
        <w:ind w:firstLine="640"/>
        <w:rPr>
          <w:rFonts w:hint="eastAsia" w:ascii="仿宋" w:hAnsi="仿宋" w:eastAsia="仿宋"/>
          <w:color w:val="auto"/>
          <w:sz w:val="32"/>
          <w:szCs w:val="32"/>
          <w:highlight w:val="none"/>
        </w:rPr>
      </w:pPr>
      <w:r>
        <w:rPr>
          <w:rFonts w:hint="eastAsia" w:ascii="仿宋" w:hAnsi="仿宋" w:eastAsia="仿宋"/>
          <w:color w:val="auto"/>
          <w:sz w:val="32"/>
          <w:szCs w:val="32"/>
          <w:highlight w:val="none"/>
        </w:rPr>
        <w:t>（图7：“三公”经费财政拨款支出结构）（饼状图）</w:t>
      </w:r>
    </w:p>
    <w:p>
      <w:pPr>
        <w:pStyle w:val="3"/>
        <w:rPr>
          <w:rFonts w:hint="eastAsia"/>
          <w:lang w:eastAsia="zh-CN"/>
        </w:rPr>
      </w:pPr>
    </w:p>
    <w:p>
      <w:pPr>
        <w:numPr>
          <w:ilvl w:val="0"/>
          <w:numId w:val="0"/>
        </w:numPr>
        <w:spacing w:line="600" w:lineRule="exact"/>
        <w:ind w:firstLine="643" w:firstLineChars="200"/>
      </w:pPr>
      <w:r>
        <w:rPr>
          <w:rFonts w:hint="eastAsia" w:ascii="仿宋_GB2312" w:eastAsia="仿宋_GB2312"/>
          <w:b/>
          <w:color w:val="auto"/>
          <w:sz w:val="32"/>
          <w:szCs w:val="32"/>
          <w:highlight w:val="none"/>
          <w:lang w:val="en-US" w:eastAsia="zh-CN"/>
        </w:rPr>
        <w:t>1.</w:t>
      </w:r>
      <w:r>
        <w:rPr>
          <w:rFonts w:hint="eastAsia" w:ascii="仿宋_GB2312" w:eastAsia="仿宋_GB2312"/>
          <w:b/>
          <w:color w:val="auto"/>
          <w:sz w:val="32"/>
          <w:szCs w:val="32"/>
          <w:highlight w:val="none"/>
        </w:rPr>
        <w:t>因公出国（境）经费支出</w:t>
      </w:r>
      <w:r>
        <w:rPr>
          <w:rFonts w:hint="eastAsia" w:ascii="仿宋_GB2312" w:eastAsia="仿宋_GB2312"/>
          <w:color w:val="auto"/>
          <w:sz w:val="32"/>
          <w:szCs w:val="32"/>
          <w:highlight w:val="none"/>
          <w:lang w:val="en-US" w:eastAsia="zh-CN"/>
        </w:rPr>
        <w:t>0</w:t>
      </w:r>
      <w:r>
        <w:rPr>
          <w:rFonts w:hint="eastAsia" w:ascii="仿宋_GB2312" w:eastAsia="仿宋_GB2312"/>
          <w:color w:val="auto"/>
          <w:sz w:val="32"/>
          <w:szCs w:val="32"/>
          <w:highlight w:val="none"/>
        </w:rPr>
        <w:t>万元，</w:t>
      </w:r>
      <w:r>
        <w:rPr>
          <w:rStyle w:val="16"/>
          <w:rFonts w:hint="eastAsia" w:ascii="仿宋" w:hAnsi="仿宋" w:eastAsia="仿宋"/>
          <w:b w:val="0"/>
          <w:bCs/>
          <w:color w:val="auto"/>
          <w:sz w:val="32"/>
          <w:szCs w:val="32"/>
          <w:highlight w:val="none"/>
          <w:lang w:eastAsia="zh-CN"/>
        </w:rPr>
        <w:t>年初未按排预算</w:t>
      </w:r>
      <w:r>
        <w:rPr>
          <w:rStyle w:val="16"/>
          <w:rFonts w:hint="eastAsia" w:ascii="仿宋" w:hAnsi="仿宋" w:eastAsia="仿宋"/>
          <w:b w:val="0"/>
          <w:bCs/>
          <w:color w:val="auto"/>
          <w:sz w:val="32"/>
          <w:szCs w:val="32"/>
          <w:highlight w:val="none"/>
        </w:rPr>
        <w:t>。</w:t>
      </w:r>
      <w:r>
        <w:rPr>
          <w:rStyle w:val="16"/>
          <w:rFonts w:hint="eastAsia" w:ascii="仿宋" w:hAnsi="仿宋" w:eastAsia="仿宋"/>
          <w:b w:val="0"/>
          <w:bCs/>
          <w:color w:val="auto"/>
          <w:sz w:val="32"/>
          <w:szCs w:val="32"/>
          <w:highlight w:val="none"/>
          <w:lang w:val="en-US" w:eastAsia="zh-CN"/>
        </w:rPr>
        <w:t>因公出国</w:t>
      </w:r>
      <w:r>
        <w:rPr>
          <w:rStyle w:val="16"/>
          <w:rFonts w:hint="eastAsia" w:ascii="仿宋" w:hAnsi="仿宋" w:eastAsia="仿宋"/>
          <w:b w:val="0"/>
          <w:bCs/>
          <w:color w:val="auto"/>
          <w:sz w:val="32"/>
          <w:szCs w:val="32"/>
          <w:highlight w:val="none"/>
        </w:rPr>
        <w:t>（境）</w:t>
      </w:r>
      <w:r>
        <w:rPr>
          <w:rStyle w:val="16"/>
          <w:rFonts w:hint="eastAsia" w:ascii="仿宋" w:hAnsi="仿宋" w:eastAsia="仿宋"/>
          <w:b w:val="0"/>
          <w:bCs/>
          <w:color w:val="auto"/>
          <w:sz w:val="32"/>
          <w:szCs w:val="32"/>
          <w:highlight w:val="none"/>
          <w:lang w:val="en-US" w:eastAsia="zh-CN"/>
        </w:rPr>
        <w:t>支出决算较上年无变化。</w:t>
      </w:r>
    </w:p>
    <w:p>
      <w:pPr>
        <w:spacing w:line="600" w:lineRule="exact"/>
        <w:ind w:firstLine="640"/>
        <w:rPr>
          <w:rFonts w:ascii="仿宋_GB2312" w:eastAsia="仿宋_GB2312"/>
          <w:b/>
          <w:color w:val="auto"/>
          <w:sz w:val="32"/>
          <w:szCs w:val="32"/>
          <w:highlight w:val="none"/>
        </w:rPr>
      </w:pPr>
      <w:r>
        <w:rPr>
          <w:rFonts w:ascii="仿宋_GB2312" w:eastAsia="仿宋_GB2312"/>
          <w:b/>
          <w:color w:val="auto"/>
          <w:sz w:val="32"/>
          <w:szCs w:val="32"/>
          <w:highlight w:val="none"/>
        </w:rPr>
        <w:t>2.</w:t>
      </w:r>
      <w:r>
        <w:rPr>
          <w:rFonts w:hint="eastAsia" w:ascii="仿宋_GB2312" w:eastAsia="仿宋_GB2312"/>
          <w:b/>
          <w:color w:val="auto"/>
          <w:sz w:val="32"/>
          <w:szCs w:val="32"/>
          <w:highlight w:val="none"/>
        </w:rPr>
        <w:t>公务用车购置及运行维护费支出</w:t>
      </w:r>
      <w:r>
        <w:rPr>
          <w:rFonts w:hint="eastAsia" w:ascii="仿宋_GB2312" w:eastAsia="仿宋_GB2312"/>
          <w:color w:val="auto"/>
          <w:sz w:val="32"/>
          <w:szCs w:val="32"/>
          <w:highlight w:val="none"/>
          <w:lang w:val="en-US" w:eastAsia="zh-CN"/>
        </w:rPr>
        <w:t>0</w:t>
      </w:r>
      <w:r>
        <w:rPr>
          <w:rFonts w:hint="eastAsia" w:ascii="仿宋_GB2312" w:eastAsia="仿宋_GB2312"/>
          <w:color w:val="auto"/>
          <w:sz w:val="32"/>
          <w:szCs w:val="32"/>
          <w:highlight w:val="none"/>
        </w:rPr>
        <w:t>万元，</w:t>
      </w:r>
      <w:r>
        <w:rPr>
          <w:rStyle w:val="16"/>
          <w:rFonts w:hint="eastAsia" w:ascii="仿宋" w:hAnsi="仿宋" w:eastAsia="仿宋"/>
          <w:b w:val="0"/>
          <w:bCs/>
          <w:color w:val="auto"/>
          <w:sz w:val="32"/>
          <w:szCs w:val="32"/>
          <w:highlight w:val="none"/>
          <w:lang w:eastAsia="zh-CN"/>
        </w:rPr>
        <w:t>年初未按排预算</w:t>
      </w:r>
      <w:r>
        <w:rPr>
          <w:rStyle w:val="16"/>
          <w:rFonts w:hint="eastAsia" w:ascii="仿宋" w:hAnsi="仿宋" w:eastAsia="仿宋"/>
          <w:b w:val="0"/>
          <w:bCs/>
          <w:color w:val="auto"/>
          <w:sz w:val="32"/>
          <w:szCs w:val="32"/>
          <w:highlight w:val="none"/>
        </w:rPr>
        <w:t>。公务用车购置及运行维护费</w:t>
      </w:r>
      <w:r>
        <w:rPr>
          <w:rStyle w:val="16"/>
          <w:rFonts w:hint="eastAsia" w:ascii="仿宋" w:hAnsi="仿宋" w:eastAsia="仿宋"/>
          <w:b w:val="0"/>
          <w:bCs/>
          <w:color w:val="auto"/>
          <w:sz w:val="32"/>
          <w:szCs w:val="32"/>
          <w:highlight w:val="none"/>
          <w:lang w:val="en-US" w:eastAsia="zh-CN"/>
        </w:rPr>
        <w:t>支出决算较上年无变化。本年度无公务用车购置，截至2022年12月底单位公务用车保留量为0辆。</w:t>
      </w:r>
    </w:p>
    <w:p>
      <w:pPr>
        <w:spacing w:line="600" w:lineRule="exact"/>
        <w:ind w:firstLine="640"/>
        <w:rPr>
          <w:rFonts w:ascii="仿宋_GB2312" w:eastAsia="仿宋_GB2312"/>
          <w:color w:val="auto"/>
          <w:sz w:val="32"/>
          <w:szCs w:val="32"/>
          <w:highlight w:val="none"/>
        </w:rPr>
      </w:pPr>
      <w:r>
        <w:rPr>
          <w:rFonts w:ascii="仿宋_GB2312" w:eastAsia="仿宋_GB2312"/>
          <w:b/>
          <w:color w:val="auto"/>
          <w:sz w:val="32"/>
          <w:szCs w:val="32"/>
          <w:highlight w:val="none"/>
        </w:rPr>
        <w:t>3.</w:t>
      </w:r>
      <w:r>
        <w:rPr>
          <w:rFonts w:hint="eastAsia" w:ascii="仿宋_GB2312" w:eastAsia="仿宋_GB2312"/>
          <w:b/>
          <w:color w:val="auto"/>
          <w:sz w:val="32"/>
          <w:szCs w:val="32"/>
          <w:highlight w:val="none"/>
        </w:rPr>
        <w:t>公务接待费支出</w:t>
      </w:r>
      <w:r>
        <w:rPr>
          <w:rFonts w:hint="eastAsia" w:ascii="仿宋_GB2312" w:eastAsia="仿宋_GB2312"/>
          <w:color w:val="auto"/>
          <w:sz w:val="32"/>
          <w:szCs w:val="32"/>
          <w:highlight w:val="none"/>
          <w:lang w:val="en-US" w:eastAsia="zh-CN"/>
        </w:rPr>
        <w:t>0.08</w:t>
      </w:r>
      <w:r>
        <w:rPr>
          <w:rFonts w:hint="eastAsia" w:ascii="仿宋_GB2312" w:eastAsia="仿宋_GB2312"/>
          <w:color w:val="auto"/>
          <w:sz w:val="32"/>
          <w:szCs w:val="32"/>
          <w:highlight w:val="none"/>
        </w:rPr>
        <w:t>万元，</w:t>
      </w:r>
      <w:r>
        <w:rPr>
          <w:rStyle w:val="16"/>
          <w:rFonts w:hint="eastAsia" w:ascii="仿宋" w:hAnsi="仿宋" w:eastAsia="仿宋"/>
          <w:b w:val="0"/>
          <w:bCs/>
          <w:color w:val="auto"/>
          <w:sz w:val="32"/>
          <w:szCs w:val="32"/>
          <w:highlight w:val="none"/>
        </w:rPr>
        <w:t>完成预算</w:t>
      </w:r>
      <w:r>
        <w:rPr>
          <w:rStyle w:val="16"/>
          <w:rFonts w:hint="eastAsia" w:ascii="仿宋" w:hAnsi="仿宋" w:eastAsia="仿宋"/>
          <w:b w:val="0"/>
          <w:bCs/>
          <w:color w:val="auto"/>
          <w:sz w:val="32"/>
          <w:szCs w:val="32"/>
          <w:highlight w:val="none"/>
          <w:lang w:val="en-US" w:eastAsia="zh-CN"/>
        </w:rPr>
        <w:t>100</w:t>
      </w:r>
      <w:r>
        <w:rPr>
          <w:rStyle w:val="16"/>
          <w:rFonts w:ascii="仿宋" w:hAnsi="仿宋" w:eastAsia="仿宋"/>
          <w:b w:val="0"/>
          <w:bCs/>
          <w:color w:val="auto"/>
          <w:sz w:val="32"/>
          <w:szCs w:val="32"/>
          <w:highlight w:val="none"/>
        </w:rPr>
        <w:t>%</w:t>
      </w:r>
      <w:r>
        <w:rPr>
          <w:rStyle w:val="16"/>
          <w:rFonts w:hint="eastAsia" w:ascii="仿宋" w:hAnsi="仿宋" w:eastAsia="仿宋"/>
          <w:b w:val="0"/>
          <w:bCs/>
          <w:color w:val="auto"/>
          <w:sz w:val="32"/>
          <w:szCs w:val="32"/>
          <w:highlight w:val="none"/>
        </w:rPr>
        <w:t>。</w:t>
      </w:r>
      <w:r>
        <w:rPr>
          <w:rFonts w:hint="eastAsia" w:ascii="仿宋_GB2312" w:eastAsia="仿宋_GB2312"/>
          <w:color w:val="auto"/>
          <w:sz w:val="32"/>
          <w:szCs w:val="32"/>
          <w:highlight w:val="none"/>
        </w:rPr>
        <w:t>公务接待费支出决算比</w:t>
      </w:r>
      <w:r>
        <w:rPr>
          <w:rFonts w:ascii="仿宋_GB2312" w:eastAsia="仿宋_GB2312"/>
          <w:color w:val="auto"/>
          <w:sz w:val="32"/>
          <w:szCs w:val="32"/>
          <w:highlight w:val="none"/>
        </w:rPr>
        <w:t>20</w:t>
      </w:r>
      <w:r>
        <w:rPr>
          <w:rFonts w:hint="eastAsia" w:ascii="仿宋_GB2312" w:eastAsia="仿宋_GB2312"/>
          <w:color w:val="auto"/>
          <w:sz w:val="32"/>
          <w:szCs w:val="32"/>
          <w:highlight w:val="none"/>
          <w:lang w:val="en-US" w:eastAsia="zh-CN"/>
        </w:rPr>
        <w:t>21</w:t>
      </w:r>
      <w:r>
        <w:rPr>
          <w:rFonts w:hint="eastAsia" w:ascii="仿宋_GB2312" w:eastAsia="仿宋_GB2312"/>
          <w:color w:val="auto"/>
          <w:sz w:val="32"/>
          <w:szCs w:val="32"/>
          <w:highlight w:val="none"/>
        </w:rPr>
        <w:t>年减少</w:t>
      </w:r>
      <w:r>
        <w:rPr>
          <w:rFonts w:hint="eastAsia" w:ascii="仿宋_GB2312" w:eastAsia="仿宋_GB2312"/>
          <w:color w:val="auto"/>
          <w:sz w:val="32"/>
          <w:szCs w:val="32"/>
          <w:highlight w:val="none"/>
          <w:lang w:val="en-US" w:eastAsia="zh-CN"/>
        </w:rPr>
        <w:t>0.44</w:t>
      </w:r>
      <w:r>
        <w:rPr>
          <w:rFonts w:hint="eastAsia" w:ascii="仿宋_GB2312" w:eastAsia="仿宋_GB2312"/>
          <w:color w:val="auto"/>
          <w:sz w:val="32"/>
          <w:szCs w:val="32"/>
          <w:highlight w:val="none"/>
        </w:rPr>
        <w:t>万元，</w:t>
      </w:r>
      <w:r>
        <w:rPr>
          <w:rFonts w:hint="eastAsia" w:ascii="仿宋" w:hAnsi="仿宋" w:eastAsia="仿宋"/>
          <w:color w:val="auto"/>
          <w:sz w:val="32"/>
          <w:szCs w:val="32"/>
          <w:highlight w:val="none"/>
          <w:lang w:val="en-US" w:eastAsia="zh-CN"/>
        </w:rPr>
        <w:t>下降84.61%</w:t>
      </w:r>
      <w:r>
        <w:rPr>
          <w:rFonts w:hint="eastAsia" w:ascii="仿宋_GB2312" w:eastAsia="仿宋_GB2312"/>
          <w:color w:val="auto"/>
          <w:sz w:val="32"/>
          <w:szCs w:val="32"/>
          <w:highlight w:val="none"/>
        </w:rPr>
        <w:t>。主要原因</w:t>
      </w:r>
      <w:r>
        <w:rPr>
          <w:rFonts w:hint="eastAsia" w:ascii="仿宋_GB2312" w:eastAsia="仿宋_GB2312" w:cs="仿宋_GB2312"/>
          <w:color w:val="auto"/>
          <w:sz w:val="32"/>
          <w:szCs w:val="32"/>
          <w:highlight w:val="none"/>
          <w:lang w:val="en-US" w:eastAsia="zh-CN"/>
        </w:rPr>
        <w:t>年受疫情影响，其他市州来我中心考察调研次数较少</w:t>
      </w:r>
      <w:r>
        <w:rPr>
          <w:rFonts w:hint="eastAsia" w:ascii="仿宋_GB2312" w:eastAsia="仿宋_GB2312"/>
          <w:color w:val="auto"/>
          <w:sz w:val="32"/>
          <w:szCs w:val="32"/>
          <w:highlight w:val="none"/>
        </w:rPr>
        <w:t>。其中：</w:t>
      </w:r>
    </w:p>
    <w:p>
      <w:pPr>
        <w:spacing w:line="600" w:lineRule="exact"/>
        <w:ind w:firstLine="640"/>
        <w:rPr>
          <w:rFonts w:hint="default" w:ascii="仿宋_GB2312" w:eastAsia="仿宋_GB2312"/>
          <w:color w:val="auto"/>
          <w:sz w:val="32"/>
          <w:szCs w:val="32"/>
          <w:highlight w:val="none"/>
          <w:lang w:val="en-US" w:eastAsia="zh-CN"/>
        </w:rPr>
      </w:pPr>
      <w:r>
        <w:rPr>
          <w:rFonts w:hint="eastAsia" w:ascii="仿宋" w:hAnsi="仿宋" w:eastAsia="仿宋"/>
          <w:b/>
          <w:color w:val="auto"/>
          <w:sz w:val="32"/>
          <w:szCs w:val="32"/>
          <w:highlight w:val="none"/>
        </w:rPr>
        <w:t>国内公务接待支出</w:t>
      </w:r>
      <w:r>
        <w:rPr>
          <w:rFonts w:hint="eastAsia" w:ascii="仿宋" w:hAnsi="仿宋" w:eastAsia="仿宋"/>
          <w:color w:val="auto"/>
          <w:sz w:val="32"/>
          <w:szCs w:val="32"/>
          <w:highlight w:val="none"/>
          <w:lang w:val="en-US" w:eastAsia="zh-CN"/>
        </w:rPr>
        <w:t>0.08</w:t>
      </w:r>
      <w:r>
        <w:rPr>
          <w:rFonts w:hint="eastAsia" w:ascii="仿宋_GB2312" w:eastAsia="仿宋_GB2312"/>
          <w:color w:val="auto"/>
          <w:sz w:val="32"/>
          <w:szCs w:val="32"/>
          <w:highlight w:val="none"/>
        </w:rPr>
        <w:t>万元，主要用于执行公务、开展业务活动开支的用餐费。国内公务接待</w:t>
      </w:r>
      <w:r>
        <w:rPr>
          <w:rFonts w:hint="eastAsia" w:ascii="仿宋_GB2312" w:eastAsia="仿宋_GB2312"/>
          <w:color w:val="auto"/>
          <w:sz w:val="32"/>
          <w:szCs w:val="32"/>
          <w:highlight w:val="none"/>
          <w:lang w:val="en-US" w:eastAsia="zh-CN"/>
        </w:rPr>
        <w:t>1</w:t>
      </w:r>
      <w:r>
        <w:rPr>
          <w:rFonts w:hint="eastAsia" w:ascii="仿宋_GB2312" w:eastAsia="仿宋_GB2312"/>
          <w:color w:val="auto"/>
          <w:sz w:val="32"/>
          <w:szCs w:val="32"/>
          <w:highlight w:val="none"/>
        </w:rPr>
        <w:t>批次，</w:t>
      </w:r>
      <w:r>
        <w:rPr>
          <w:rFonts w:hint="eastAsia" w:ascii="仿宋_GB2312" w:eastAsia="仿宋_GB2312"/>
          <w:color w:val="auto"/>
          <w:sz w:val="32"/>
          <w:szCs w:val="32"/>
          <w:highlight w:val="none"/>
          <w:lang w:val="en-US" w:eastAsia="zh-CN"/>
        </w:rPr>
        <w:t>5</w:t>
      </w:r>
      <w:r>
        <w:rPr>
          <w:rFonts w:hint="eastAsia" w:ascii="仿宋_GB2312" w:eastAsia="仿宋_GB2312"/>
          <w:color w:val="auto"/>
          <w:sz w:val="32"/>
          <w:szCs w:val="32"/>
          <w:highlight w:val="none"/>
        </w:rPr>
        <w:t>人次（不包括陪同人员），共计支出</w:t>
      </w:r>
      <w:r>
        <w:rPr>
          <w:rFonts w:hint="eastAsia" w:ascii="仿宋_GB2312" w:eastAsia="仿宋_GB2312"/>
          <w:color w:val="auto"/>
          <w:sz w:val="32"/>
          <w:szCs w:val="32"/>
          <w:highlight w:val="none"/>
          <w:lang w:val="en-US" w:eastAsia="zh-CN"/>
        </w:rPr>
        <w:t>0.08</w:t>
      </w:r>
      <w:r>
        <w:rPr>
          <w:rFonts w:hint="eastAsia" w:ascii="仿宋_GB2312" w:eastAsia="仿宋_GB2312"/>
          <w:color w:val="auto"/>
          <w:sz w:val="32"/>
          <w:szCs w:val="32"/>
          <w:highlight w:val="none"/>
        </w:rPr>
        <w:t>万元，具体内容包括：</w:t>
      </w:r>
      <w:r>
        <w:rPr>
          <w:rFonts w:hint="eastAsia" w:ascii="仿宋_GB2312" w:eastAsia="仿宋_GB2312"/>
          <w:color w:val="auto"/>
          <w:sz w:val="32"/>
          <w:szCs w:val="32"/>
          <w:highlight w:val="none"/>
          <w:lang w:val="en-US" w:eastAsia="zh-CN"/>
        </w:rPr>
        <w:t>接待眉山市政务服务和公共资源交易中心来广学习调研用餐支出0.08万元。</w:t>
      </w:r>
    </w:p>
    <w:p>
      <w:pPr>
        <w:spacing w:line="600" w:lineRule="exact"/>
        <w:ind w:firstLine="643" w:firstLineChars="200"/>
        <w:rPr>
          <w:rFonts w:hint="eastAsia" w:ascii="仿宋_GB2312" w:eastAsia="仿宋_GB2312"/>
          <w:color w:val="auto"/>
          <w:sz w:val="32"/>
          <w:szCs w:val="32"/>
          <w:highlight w:val="none"/>
          <w:lang w:eastAsia="zh-CN"/>
        </w:rPr>
      </w:pPr>
      <w:r>
        <w:rPr>
          <w:rFonts w:hint="eastAsia" w:ascii="仿宋" w:hAnsi="仿宋" w:eastAsia="仿宋"/>
          <w:b/>
          <w:color w:val="auto"/>
          <w:sz w:val="32"/>
          <w:szCs w:val="32"/>
          <w:highlight w:val="none"/>
        </w:rPr>
        <w:t>外事接待支出</w:t>
      </w:r>
      <w:r>
        <w:rPr>
          <w:rFonts w:hint="eastAsia" w:ascii="仿宋" w:hAnsi="仿宋" w:eastAsia="仿宋"/>
          <w:color w:val="auto"/>
          <w:sz w:val="32"/>
          <w:szCs w:val="32"/>
          <w:highlight w:val="none"/>
          <w:lang w:val="en-US" w:eastAsia="zh-CN"/>
        </w:rPr>
        <w:t>0</w:t>
      </w:r>
      <w:r>
        <w:rPr>
          <w:rFonts w:hint="eastAsia" w:ascii="仿宋_GB2312" w:eastAsia="仿宋_GB2312"/>
          <w:color w:val="auto"/>
          <w:sz w:val="32"/>
          <w:szCs w:val="32"/>
          <w:highlight w:val="none"/>
        </w:rPr>
        <w:t>万元</w:t>
      </w:r>
      <w:r>
        <w:rPr>
          <w:rFonts w:hint="eastAsia" w:ascii="仿宋_GB2312" w:eastAsia="仿宋_GB2312"/>
          <w:color w:val="auto"/>
          <w:sz w:val="32"/>
          <w:szCs w:val="32"/>
          <w:highlight w:val="none"/>
          <w:lang w:eastAsia="zh-CN"/>
        </w:rPr>
        <w:t>。</w:t>
      </w:r>
    </w:p>
    <w:p>
      <w:pPr>
        <w:spacing w:line="600" w:lineRule="exact"/>
        <w:ind w:firstLine="640"/>
        <w:outlineLvl w:val="1"/>
        <w:rPr>
          <w:rStyle w:val="27"/>
          <w:rFonts w:ascii="黑体" w:hAnsi="黑体" w:eastAsia="黑体"/>
          <w:color w:val="auto"/>
          <w:highlight w:val="none"/>
        </w:rPr>
      </w:pPr>
      <w:bookmarkStart w:id="51" w:name="_Toc15377218"/>
      <w:bookmarkStart w:id="52" w:name="_Toc15396610"/>
      <w:bookmarkStart w:id="53" w:name="_Toc138"/>
      <w:r>
        <w:rPr>
          <w:rFonts w:hint="eastAsia" w:ascii="黑体" w:eastAsia="黑体"/>
          <w:color w:val="auto"/>
          <w:sz w:val="32"/>
          <w:szCs w:val="32"/>
          <w:highlight w:val="none"/>
        </w:rPr>
        <w:t>八、</w:t>
      </w:r>
      <w:r>
        <w:rPr>
          <w:rStyle w:val="27"/>
          <w:rFonts w:hint="eastAsia" w:ascii="黑体" w:hAnsi="黑体" w:eastAsia="黑体"/>
          <w:b w:val="0"/>
          <w:color w:val="auto"/>
          <w:highlight w:val="none"/>
        </w:rPr>
        <w:t>政府性基金预算支出决算情况说明</w:t>
      </w:r>
      <w:bookmarkEnd w:id="51"/>
      <w:bookmarkEnd w:id="52"/>
      <w:bookmarkEnd w:id="53"/>
    </w:p>
    <w:p>
      <w:pPr>
        <w:spacing w:line="600" w:lineRule="exact"/>
        <w:ind w:firstLine="640"/>
        <w:rPr>
          <w:rFonts w:ascii="仿宋_GB2312" w:eastAsia="仿宋_GB2312"/>
          <w:color w:val="auto"/>
          <w:sz w:val="32"/>
          <w:szCs w:val="32"/>
          <w:highlight w:val="none"/>
        </w:rPr>
      </w:pPr>
      <w:r>
        <w:rPr>
          <w:rFonts w:ascii="仿宋_GB2312" w:eastAsia="仿宋_GB2312"/>
          <w:color w:val="auto"/>
          <w:sz w:val="32"/>
          <w:szCs w:val="32"/>
          <w:highlight w:val="none"/>
        </w:rPr>
        <w:t>20</w:t>
      </w:r>
      <w:r>
        <w:rPr>
          <w:rFonts w:hint="eastAsia" w:ascii="仿宋_GB2312" w:eastAsia="仿宋_GB2312"/>
          <w:color w:val="auto"/>
          <w:sz w:val="32"/>
          <w:szCs w:val="32"/>
          <w:highlight w:val="none"/>
          <w:lang w:val="en-US" w:eastAsia="zh-CN"/>
        </w:rPr>
        <w:t>22</w:t>
      </w:r>
      <w:r>
        <w:rPr>
          <w:rFonts w:hint="eastAsia" w:ascii="仿宋_GB2312" w:eastAsia="仿宋_GB2312"/>
          <w:color w:val="auto"/>
          <w:sz w:val="32"/>
          <w:szCs w:val="32"/>
          <w:highlight w:val="none"/>
        </w:rPr>
        <w:t>年政府性基金预算</w:t>
      </w:r>
      <w:r>
        <w:rPr>
          <w:rFonts w:hint="eastAsia" w:ascii="仿宋_GB2312" w:eastAsia="仿宋_GB2312"/>
          <w:color w:val="auto"/>
          <w:sz w:val="32"/>
          <w:szCs w:val="32"/>
          <w:highlight w:val="none"/>
          <w:lang w:eastAsia="zh-CN"/>
        </w:rPr>
        <w:t>财政</w:t>
      </w:r>
      <w:r>
        <w:rPr>
          <w:rFonts w:hint="eastAsia" w:ascii="仿宋_GB2312" w:eastAsia="仿宋_GB2312"/>
          <w:color w:val="auto"/>
          <w:sz w:val="32"/>
          <w:szCs w:val="32"/>
          <w:highlight w:val="none"/>
        </w:rPr>
        <w:t>拨款支出</w:t>
      </w:r>
      <w:r>
        <w:rPr>
          <w:rFonts w:hint="eastAsia" w:ascii="仿宋_GB2312" w:eastAsia="仿宋_GB2312"/>
          <w:color w:val="auto"/>
          <w:sz w:val="32"/>
          <w:szCs w:val="32"/>
          <w:highlight w:val="none"/>
          <w:lang w:val="en-US" w:eastAsia="zh-CN"/>
        </w:rPr>
        <w:t>0</w:t>
      </w:r>
      <w:r>
        <w:rPr>
          <w:rFonts w:hint="eastAsia" w:ascii="仿宋_GB2312" w:eastAsia="仿宋_GB2312"/>
          <w:color w:val="auto"/>
          <w:sz w:val="32"/>
          <w:szCs w:val="32"/>
          <w:highlight w:val="none"/>
        </w:rPr>
        <w:t>万元。</w:t>
      </w:r>
    </w:p>
    <w:p>
      <w:pPr>
        <w:spacing w:line="600" w:lineRule="exact"/>
        <w:ind w:firstLine="640"/>
        <w:rPr>
          <w:rFonts w:ascii="仿宋_GB2312" w:eastAsia="仿宋_GB2312"/>
          <w:color w:val="auto"/>
          <w:sz w:val="32"/>
          <w:szCs w:val="32"/>
          <w:highlight w:val="none"/>
        </w:rPr>
      </w:pPr>
    </w:p>
    <w:p>
      <w:pPr>
        <w:numPr>
          <w:ilvl w:val="0"/>
          <w:numId w:val="3"/>
        </w:numPr>
        <w:spacing w:line="600" w:lineRule="exact"/>
        <w:ind w:firstLine="640"/>
        <w:outlineLvl w:val="1"/>
        <w:rPr>
          <w:rStyle w:val="27"/>
          <w:rFonts w:ascii="黑体" w:hAnsi="黑体" w:eastAsia="黑体"/>
          <w:b w:val="0"/>
          <w:color w:val="auto"/>
          <w:highlight w:val="none"/>
        </w:rPr>
      </w:pPr>
      <w:bookmarkStart w:id="54" w:name="_Toc15377219"/>
      <w:bookmarkStart w:id="55" w:name="_Toc15396611"/>
      <w:bookmarkStart w:id="56" w:name="_Toc20365"/>
      <w:r>
        <w:rPr>
          <w:rStyle w:val="27"/>
          <w:rFonts w:hint="eastAsia" w:ascii="黑体" w:hAnsi="黑体" w:eastAsia="黑体"/>
          <w:b w:val="0"/>
          <w:color w:val="auto"/>
          <w:highlight w:val="none"/>
        </w:rPr>
        <w:t>国有资本经营预算支出决算情况说明</w:t>
      </w:r>
      <w:bookmarkEnd w:id="54"/>
      <w:bookmarkEnd w:id="55"/>
      <w:bookmarkEnd w:id="56"/>
    </w:p>
    <w:p>
      <w:pPr>
        <w:spacing w:line="600" w:lineRule="exact"/>
        <w:ind w:firstLine="640"/>
        <w:rPr>
          <w:rFonts w:ascii="仿宋_GB2312" w:eastAsia="仿宋_GB2312"/>
          <w:color w:val="auto"/>
          <w:sz w:val="32"/>
          <w:szCs w:val="32"/>
          <w:highlight w:val="none"/>
        </w:rPr>
      </w:pPr>
      <w:r>
        <w:rPr>
          <w:rFonts w:ascii="仿宋_GB2312" w:eastAsia="仿宋_GB2312"/>
          <w:color w:val="auto"/>
          <w:sz w:val="32"/>
          <w:szCs w:val="32"/>
          <w:highlight w:val="none"/>
        </w:rPr>
        <w:t>20</w:t>
      </w:r>
      <w:r>
        <w:rPr>
          <w:rFonts w:hint="eastAsia" w:ascii="仿宋_GB2312" w:eastAsia="仿宋_GB2312"/>
          <w:color w:val="auto"/>
          <w:sz w:val="32"/>
          <w:szCs w:val="32"/>
          <w:highlight w:val="none"/>
          <w:lang w:val="en-US" w:eastAsia="zh-CN"/>
        </w:rPr>
        <w:t>22</w:t>
      </w:r>
      <w:r>
        <w:rPr>
          <w:rFonts w:hint="eastAsia" w:ascii="仿宋_GB2312" w:eastAsia="仿宋_GB2312"/>
          <w:color w:val="auto"/>
          <w:sz w:val="32"/>
          <w:szCs w:val="32"/>
          <w:highlight w:val="none"/>
        </w:rPr>
        <w:t>年国有资本经营预算</w:t>
      </w:r>
      <w:r>
        <w:rPr>
          <w:rFonts w:hint="eastAsia" w:ascii="仿宋_GB2312" w:eastAsia="仿宋_GB2312"/>
          <w:color w:val="auto"/>
          <w:sz w:val="32"/>
          <w:szCs w:val="32"/>
          <w:highlight w:val="none"/>
          <w:lang w:eastAsia="zh-CN"/>
        </w:rPr>
        <w:t>财政</w:t>
      </w:r>
      <w:r>
        <w:rPr>
          <w:rFonts w:hint="eastAsia" w:ascii="仿宋_GB2312" w:eastAsia="仿宋_GB2312"/>
          <w:color w:val="auto"/>
          <w:sz w:val="32"/>
          <w:szCs w:val="32"/>
          <w:highlight w:val="none"/>
        </w:rPr>
        <w:t>拨款支出</w:t>
      </w:r>
      <w:r>
        <w:rPr>
          <w:rFonts w:hint="eastAsia" w:ascii="仿宋_GB2312" w:eastAsia="仿宋_GB2312"/>
          <w:color w:val="auto"/>
          <w:sz w:val="32"/>
          <w:szCs w:val="32"/>
          <w:highlight w:val="none"/>
          <w:lang w:val="en-US" w:eastAsia="zh-CN"/>
        </w:rPr>
        <w:t>0</w:t>
      </w:r>
      <w:r>
        <w:rPr>
          <w:rFonts w:hint="eastAsia" w:ascii="仿宋_GB2312" w:eastAsia="仿宋_GB2312"/>
          <w:color w:val="auto"/>
          <w:sz w:val="32"/>
          <w:szCs w:val="32"/>
          <w:highlight w:val="none"/>
        </w:rPr>
        <w:t>万元。</w:t>
      </w:r>
    </w:p>
    <w:p>
      <w:pPr>
        <w:spacing w:line="580" w:lineRule="exact"/>
        <w:jc w:val="center"/>
        <w:rPr>
          <w:rFonts w:ascii="方正小标宋简体" w:hAnsi="方正小标宋简体" w:eastAsia="方正小标宋简体" w:cs="方正小标宋简体"/>
          <w:color w:val="auto"/>
          <w:sz w:val="44"/>
          <w:szCs w:val="44"/>
          <w:highlight w:val="none"/>
        </w:rPr>
      </w:pPr>
    </w:p>
    <w:p>
      <w:pPr>
        <w:numPr>
          <w:ilvl w:val="0"/>
          <w:numId w:val="3"/>
        </w:numPr>
        <w:spacing w:line="600" w:lineRule="exact"/>
        <w:ind w:firstLine="640"/>
        <w:outlineLvl w:val="1"/>
        <w:rPr>
          <w:rStyle w:val="27"/>
          <w:rFonts w:hint="eastAsia" w:ascii="黑体" w:hAnsi="黑体" w:eastAsia="黑体"/>
          <w:b w:val="0"/>
          <w:color w:val="auto"/>
          <w:highlight w:val="none"/>
        </w:rPr>
      </w:pPr>
      <w:bookmarkStart w:id="57" w:name="_Toc27759"/>
      <w:bookmarkStart w:id="58" w:name="_Toc15377221"/>
      <w:bookmarkStart w:id="59" w:name="_Toc15396612"/>
      <w:r>
        <w:rPr>
          <w:rStyle w:val="27"/>
          <w:rFonts w:hint="eastAsia" w:ascii="黑体" w:hAnsi="黑体" w:eastAsia="黑体"/>
          <w:b w:val="0"/>
          <w:color w:val="auto"/>
          <w:highlight w:val="none"/>
        </w:rPr>
        <w:t>其他重要事项的情况说明</w:t>
      </w:r>
      <w:bookmarkEnd w:id="57"/>
      <w:bookmarkEnd w:id="58"/>
      <w:bookmarkEnd w:id="59"/>
    </w:p>
    <w:p>
      <w:pPr>
        <w:spacing w:line="600" w:lineRule="exact"/>
        <w:ind w:firstLine="643" w:firstLineChars="200"/>
        <w:outlineLvl w:val="2"/>
        <w:rPr>
          <w:rFonts w:ascii="仿宋" w:hAnsi="仿宋" w:eastAsia="仿宋"/>
          <w:color w:val="auto"/>
          <w:sz w:val="32"/>
          <w:szCs w:val="32"/>
          <w:highlight w:val="none"/>
        </w:rPr>
      </w:pPr>
      <w:bookmarkStart w:id="60" w:name="_Toc15377222"/>
      <w:r>
        <w:rPr>
          <w:rFonts w:hint="eastAsia" w:ascii="仿宋" w:hAnsi="仿宋" w:eastAsia="仿宋"/>
          <w:b/>
          <w:color w:val="auto"/>
          <w:sz w:val="32"/>
          <w:szCs w:val="32"/>
          <w:highlight w:val="none"/>
        </w:rPr>
        <w:t>（一）机关运行经费支出情况</w:t>
      </w:r>
      <w:bookmarkEnd w:id="60"/>
    </w:p>
    <w:p>
      <w:pPr>
        <w:spacing w:line="600" w:lineRule="exact"/>
        <w:ind w:firstLine="640" w:firstLineChars="200"/>
        <w:rPr>
          <w:rFonts w:hint="eastAsia" w:ascii="仿宋" w:hAnsi="仿宋" w:eastAsia="仿宋" w:cs="仿宋"/>
          <w:b/>
          <w:bCs w:val="0"/>
          <w:color w:val="auto"/>
          <w:sz w:val="32"/>
          <w:szCs w:val="32"/>
          <w:highlight w:val="none"/>
        </w:rPr>
      </w:pPr>
      <w:bookmarkStart w:id="61" w:name="_Toc15377223"/>
      <w:r>
        <w:rPr>
          <w:rFonts w:hint="eastAsia" w:ascii="仿宋_GB2312" w:eastAsia="仿宋_GB2312" w:cs="仿宋_GB2312"/>
          <w:color w:val="000000"/>
          <w:sz w:val="32"/>
          <w:szCs w:val="32"/>
        </w:rPr>
        <w:t>广元市公共资源交易信息中心为公益一类事业单位，</w:t>
      </w:r>
      <w:r>
        <w:rPr>
          <w:rFonts w:hint="eastAsia" w:ascii="仿宋_GB2312" w:eastAsia="仿宋_GB2312" w:cs="仿宋_GB2312"/>
          <w:color w:val="000000"/>
          <w:sz w:val="32"/>
          <w:szCs w:val="32"/>
          <w:lang w:val="en-US" w:eastAsia="zh-CN"/>
        </w:rPr>
        <w:t>2022年</w:t>
      </w:r>
      <w:r>
        <w:rPr>
          <w:rFonts w:hint="eastAsia" w:ascii="仿宋_GB2312" w:eastAsia="仿宋_GB2312" w:cs="仿宋_GB2312"/>
          <w:color w:val="000000"/>
          <w:sz w:val="32"/>
          <w:szCs w:val="32"/>
        </w:rPr>
        <w:t>未发生机关运行经费支出</w:t>
      </w:r>
      <w:r>
        <w:rPr>
          <w:rFonts w:hint="eastAsia" w:ascii="仿宋_GB2312" w:eastAsia="仿宋_GB2312" w:cs="仿宋_GB2312"/>
          <w:color w:val="000000"/>
          <w:sz w:val="32"/>
          <w:szCs w:val="32"/>
          <w:lang w:eastAsia="zh-CN"/>
        </w:rPr>
        <w:t>，</w:t>
      </w:r>
      <w:r>
        <w:rPr>
          <w:rFonts w:hint="eastAsia" w:ascii="仿宋_GB2312" w:eastAsia="仿宋_GB2312" w:cs="仿宋_GB2312"/>
          <w:color w:val="000000"/>
          <w:sz w:val="32"/>
          <w:szCs w:val="32"/>
          <w:lang w:val="en-US" w:eastAsia="zh-CN"/>
        </w:rPr>
        <w:t>与2021年决算数持平。</w:t>
      </w:r>
    </w:p>
    <w:p>
      <w:pPr>
        <w:autoSpaceDE w:val="0"/>
        <w:autoSpaceDN w:val="0"/>
        <w:adjustRightInd w:val="0"/>
        <w:spacing w:line="600" w:lineRule="exact"/>
        <w:ind w:firstLine="643" w:firstLineChars="200"/>
        <w:jc w:val="left"/>
        <w:outlineLvl w:val="2"/>
        <w:rPr>
          <w:rFonts w:ascii="仿宋" w:hAnsi="仿宋" w:eastAsia="仿宋"/>
          <w:b/>
          <w:color w:val="auto"/>
          <w:sz w:val="32"/>
          <w:szCs w:val="32"/>
          <w:highlight w:val="none"/>
        </w:rPr>
      </w:pPr>
      <w:r>
        <w:rPr>
          <w:rFonts w:hint="eastAsia" w:ascii="仿宋" w:hAnsi="仿宋" w:eastAsia="仿宋"/>
          <w:b/>
          <w:color w:val="auto"/>
          <w:sz w:val="32"/>
          <w:szCs w:val="32"/>
          <w:highlight w:val="none"/>
        </w:rPr>
        <w:t>（二）政府采购支出情况</w:t>
      </w:r>
      <w:bookmarkEnd w:id="61"/>
    </w:p>
    <w:p>
      <w:pPr>
        <w:spacing w:line="600" w:lineRule="exact"/>
        <w:ind w:firstLine="640" w:firstLineChars="200"/>
        <w:rPr>
          <w:rFonts w:hint="eastAsia" w:ascii="仿宋_GB2312" w:eastAsia="仿宋_GB2312"/>
          <w:color w:val="auto"/>
          <w:sz w:val="32"/>
          <w:szCs w:val="32"/>
          <w:highlight w:val="none"/>
          <w:lang w:eastAsia="zh-CN"/>
        </w:rPr>
      </w:pPr>
      <w:r>
        <w:rPr>
          <w:rFonts w:ascii="仿宋_GB2312" w:eastAsia="仿宋_GB2312"/>
          <w:color w:val="auto"/>
          <w:sz w:val="32"/>
          <w:szCs w:val="32"/>
          <w:highlight w:val="none"/>
        </w:rPr>
        <w:t>20</w:t>
      </w:r>
      <w:r>
        <w:rPr>
          <w:rFonts w:hint="eastAsia" w:ascii="仿宋_GB2312" w:eastAsia="仿宋_GB2312"/>
          <w:color w:val="auto"/>
          <w:sz w:val="32"/>
          <w:szCs w:val="32"/>
          <w:highlight w:val="none"/>
          <w:lang w:val="en-US" w:eastAsia="zh-CN"/>
        </w:rPr>
        <w:t>22</w:t>
      </w:r>
      <w:r>
        <w:rPr>
          <w:rFonts w:hint="eastAsia" w:ascii="仿宋_GB2312" w:eastAsia="仿宋_GB2312"/>
          <w:color w:val="auto"/>
          <w:sz w:val="32"/>
          <w:szCs w:val="32"/>
          <w:highlight w:val="none"/>
        </w:rPr>
        <w:t>年，</w:t>
      </w:r>
      <w:r>
        <w:rPr>
          <w:rFonts w:hint="eastAsia" w:ascii="仿宋_GB2312" w:eastAsia="仿宋_GB2312" w:cs="仿宋_GB2312"/>
          <w:color w:val="000000"/>
          <w:sz w:val="32"/>
          <w:szCs w:val="32"/>
        </w:rPr>
        <w:t>广元市公共资源交易信息中心</w:t>
      </w:r>
      <w:r>
        <w:rPr>
          <w:rFonts w:hint="eastAsia" w:ascii="仿宋_GB2312" w:eastAsia="仿宋_GB2312"/>
          <w:color w:val="auto"/>
          <w:sz w:val="32"/>
          <w:szCs w:val="32"/>
          <w:highlight w:val="none"/>
        </w:rPr>
        <w:t>政府采购支出总额</w:t>
      </w:r>
      <w:r>
        <w:rPr>
          <w:rFonts w:hint="eastAsia" w:ascii="仿宋_GB2312" w:eastAsia="仿宋_GB2312"/>
          <w:color w:val="auto"/>
          <w:sz w:val="32"/>
          <w:szCs w:val="32"/>
          <w:highlight w:val="none"/>
          <w:lang w:val="en-US" w:eastAsia="zh-CN"/>
        </w:rPr>
        <w:t>0</w:t>
      </w:r>
      <w:r>
        <w:rPr>
          <w:rFonts w:hint="eastAsia" w:ascii="仿宋_GB2312" w:eastAsia="仿宋_GB2312"/>
          <w:color w:val="auto"/>
          <w:sz w:val="32"/>
          <w:szCs w:val="32"/>
          <w:highlight w:val="none"/>
        </w:rPr>
        <w:t>万元</w:t>
      </w:r>
      <w:r>
        <w:rPr>
          <w:rFonts w:hint="eastAsia" w:ascii="仿宋_GB2312" w:eastAsia="仿宋_GB2312"/>
          <w:color w:val="auto"/>
          <w:sz w:val="32"/>
          <w:szCs w:val="32"/>
          <w:highlight w:val="none"/>
          <w:lang w:eastAsia="zh-CN"/>
        </w:rPr>
        <w:t>。</w:t>
      </w:r>
    </w:p>
    <w:p>
      <w:pPr>
        <w:autoSpaceDE w:val="0"/>
        <w:autoSpaceDN w:val="0"/>
        <w:adjustRightInd w:val="0"/>
        <w:spacing w:line="600" w:lineRule="exact"/>
        <w:ind w:firstLine="643" w:firstLineChars="200"/>
        <w:jc w:val="left"/>
        <w:outlineLvl w:val="2"/>
        <w:rPr>
          <w:rFonts w:ascii="仿宋" w:hAnsi="仿宋" w:eastAsia="仿宋"/>
          <w:b/>
          <w:color w:val="auto"/>
          <w:sz w:val="32"/>
          <w:szCs w:val="32"/>
          <w:highlight w:val="none"/>
        </w:rPr>
      </w:pPr>
      <w:bookmarkStart w:id="62" w:name="_Toc15377224"/>
      <w:r>
        <w:rPr>
          <w:rFonts w:hint="eastAsia" w:ascii="仿宋" w:hAnsi="仿宋" w:eastAsia="仿宋"/>
          <w:b/>
          <w:color w:val="auto"/>
          <w:sz w:val="32"/>
          <w:szCs w:val="32"/>
          <w:highlight w:val="none"/>
        </w:rPr>
        <w:t>（三）国有资产占有使用情况</w:t>
      </w:r>
      <w:bookmarkEnd w:id="62"/>
    </w:p>
    <w:p>
      <w:pPr>
        <w:autoSpaceDE w:val="0"/>
        <w:autoSpaceDN w:val="0"/>
        <w:adjustRightInd w:val="0"/>
        <w:spacing w:line="600" w:lineRule="exact"/>
        <w:ind w:firstLine="640" w:firstLineChars="200"/>
        <w:jc w:val="left"/>
        <w:outlineLvl w:val="2"/>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截至</w:t>
      </w:r>
      <w:r>
        <w:rPr>
          <w:rFonts w:ascii="仿宋_GB2312" w:eastAsia="仿宋_GB2312"/>
          <w:color w:val="auto"/>
          <w:sz w:val="32"/>
          <w:szCs w:val="32"/>
          <w:highlight w:val="none"/>
        </w:rPr>
        <w:t>20</w:t>
      </w:r>
      <w:r>
        <w:rPr>
          <w:rFonts w:hint="eastAsia" w:ascii="仿宋_GB2312" w:eastAsia="仿宋_GB2312"/>
          <w:color w:val="auto"/>
          <w:sz w:val="32"/>
          <w:szCs w:val="32"/>
          <w:highlight w:val="none"/>
          <w:lang w:val="en-US" w:eastAsia="zh-CN"/>
        </w:rPr>
        <w:t>22</w:t>
      </w:r>
      <w:r>
        <w:rPr>
          <w:rFonts w:hint="eastAsia" w:ascii="仿宋_GB2312" w:eastAsia="仿宋_GB2312"/>
          <w:color w:val="auto"/>
          <w:sz w:val="32"/>
          <w:szCs w:val="32"/>
          <w:highlight w:val="none"/>
        </w:rPr>
        <w:t>年</w:t>
      </w:r>
      <w:r>
        <w:rPr>
          <w:rFonts w:ascii="仿宋_GB2312" w:eastAsia="仿宋_GB2312"/>
          <w:color w:val="auto"/>
          <w:sz w:val="32"/>
          <w:szCs w:val="32"/>
          <w:highlight w:val="none"/>
        </w:rPr>
        <w:t>12</w:t>
      </w:r>
      <w:r>
        <w:rPr>
          <w:rFonts w:hint="eastAsia" w:ascii="仿宋_GB2312" w:eastAsia="仿宋_GB2312"/>
          <w:color w:val="auto"/>
          <w:sz w:val="32"/>
          <w:szCs w:val="32"/>
          <w:highlight w:val="none"/>
        </w:rPr>
        <w:t>月</w:t>
      </w:r>
      <w:r>
        <w:rPr>
          <w:rFonts w:ascii="仿宋_GB2312" w:eastAsia="仿宋_GB2312"/>
          <w:color w:val="auto"/>
          <w:sz w:val="32"/>
          <w:szCs w:val="32"/>
          <w:highlight w:val="none"/>
        </w:rPr>
        <w:t>31</w:t>
      </w:r>
      <w:r>
        <w:rPr>
          <w:rFonts w:hint="eastAsia" w:ascii="仿宋_GB2312" w:eastAsia="仿宋_GB2312"/>
          <w:color w:val="auto"/>
          <w:sz w:val="32"/>
          <w:szCs w:val="32"/>
          <w:highlight w:val="none"/>
        </w:rPr>
        <w:t>日，</w:t>
      </w:r>
      <w:r>
        <w:rPr>
          <w:rFonts w:hint="eastAsia" w:ascii="仿宋_GB2312" w:eastAsia="仿宋_GB2312"/>
          <w:color w:val="auto"/>
          <w:sz w:val="32"/>
          <w:szCs w:val="32"/>
          <w:highlight w:val="none"/>
          <w:lang w:eastAsia="zh-CN"/>
        </w:rPr>
        <w:t>广元市公共资源交易信息中心</w:t>
      </w:r>
      <w:r>
        <w:rPr>
          <w:rFonts w:hint="eastAsia" w:ascii="仿宋_GB2312" w:eastAsia="仿宋_GB2312"/>
          <w:color w:val="auto"/>
          <w:sz w:val="32"/>
          <w:szCs w:val="32"/>
          <w:highlight w:val="none"/>
        </w:rPr>
        <w:t>共有车辆</w:t>
      </w:r>
      <w:r>
        <w:rPr>
          <w:rFonts w:hint="eastAsia" w:ascii="仿宋_GB2312" w:eastAsia="仿宋_GB2312"/>
          <w:color w:val="auto"/>
          <w:sz w:val="32"/>
          <w:szCs w:val="32"/>
          <w:highlight w:val="none"/>
          <w:lang w:val="en-US" w:eastAsia="zh-CN"/>
        </w:rPr>
        <w:t>0</w:t>
      </w:r>
      <w:r>
        <w:rPr>
          <w:rFonts w:hint="eastAsia" w:ascii="仿宋_GB2312" w:eastAsia="仿宋_GB2312"/>
          <w:color w:val="auto"/>
          <w:sz w:val="32"/>
          <w:szCs w:val="32"/>
          <w:highlight w:val="none"/>
        </w:rPr>
        <w:t>辆，其中：主要领导干部用车</w:t>
      </w:r>
      <w:r>
        <w:rPr>
          <w:rFonts w:hint="eastAsia" w:ascii="仿宋_GB2312" w:eastAsia="仿宋_GB2312"/>
          <w:color w:val="auto"/>
          <w:sz w:val="32"/>
          <w:szCs w:val="32"/>
          <w:highlight w:val="none"/>
          <w:lang w:val="en-US" w:eastAsia="zh-CN"/>
        </w:rPr>
        <w:t>0</w:t>
      </w:r>
      <w:r>
        <w:rPr>
          <w:rFonts w:hint="eastAsia" w:ascii="仿宋_GB2312" w:eastAsia="仿宋_GB2312"/>
          <w:color w:val="auto"/>
          <w:sz w:val="32"/>
          <w:szCs w:val="32"/>
          <w:highlight w:val="none"/>
        </w:rPr>
        <w:t>辆、机要通信用车</w:t>
      </w:r>
      <w:r>
        <w:rPr>
          <w:rFonts w:hint="eastAsia" w:ascii="仿宋_GB2312" w:eastAsia="仿宋_GB2312"/>
          <w:color w:val="auto"/>
          <w:sz w:val="32"/>
          <w:szCs w:val="32"/>
          <w:highlight w:val="none"/>
          <w:lang w:val="en-US" w:eastAsia="zh-CN"/>
        </w:rPr>
        <w:t>0</w:t>
      </w:r>
      <w:r>
        <w:rPr>
          <w:rFonts w:hint="eastAsia" w:ascii="仿宋_GB2312" w:eastAsia="仿宋_GB2312"/>
          <w:color w:val="auto"/>
          <w:sz w:val="32"/>
          <w:szCs w:val="32"/>
          <w:highlight w:val="none"/>
        </w:rPr>
        <w:t>辆、应急保障用车</w:t>
      </w:r>
      <w:r>
        <w:rPr>
          <w:rFonts w:hint="eastAsia" w:ascii="仿宋_GB2312" w:eastAsia="仿宋_GB2312"/>
          <w:color w:val="auto"/>
          <w:sz w:val="32"/>
          <w:szCs w:val="32"/>
          <w:highlight w:val="none"/>
          <w:lang w:val="en-US" w:eastAsia="zh-CN"/>
        </w:rPr>
        <w:t>0</w:t>
      </w:r>
      <w:r>
        <w:rPr>
          <w:rFonts w:hint="eastAsia" w:ascii="仿宋_GB2312" w:eastAsia="仿宋_GB2312"/>
          <w:color w:val="auto"/>
          <w:sz w:val="32"/>
          <w:szCs w:val="32"/>
          <w:highlight w:val="none"/>
        </w:rPr>
        <w:t>辆、其他用车</w:t>
      </w:r>
      <w:r>
        <w:rPr>
          <w:rFonts w:hint="eastAsia" w:ascii="仿宋_GB2312" w:eastAsia="仿宋_GB2312"/>
          <w:color w:val="auto"/>
          <w:sz w:val="32"/>
          <w:szCs w:val="32"/>
          <w:highlight w:val="none"/>
          <w:lang w:val="en-US" w:eastAsia="zh-CN"/>
        </w:rPr>
        <w:t>0</w:t>
      </w:r>
      <w:r>
        <w:rPr>
          <w:rFonts w:hint="eastAsia" w:ascii="仿宋_GB2312" w:eastAsia="仿宋_GB2312"/>
          <w:color w:val="auto"/>
          <w:sz w:val="32"/>
          <w:szCs w:val="32"/>
          <w:highlight w:val="none"/>
        </w:rPr>
        <w:t>辆</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单价</w:t>
      </w:r>
      <w:r>
        <w:rPr>
          <w:rFonts w:ascii="仿宋_GB2312" w:eastAsia="仿宋_GB2312"/>
          <w:color w:val="auto"/>
          <w:sz w:val="32"/>
          <w:szCs w:val="32"/>
          <w:highlight w:val="none"/>
        </w:rPr>
        <w:t>100</w:t>
      </w:r>
      <w:r>
        <w:rPr>
          <w:rFonts w:hint="eastAsia" w:ascii="仿宋_GB2312" w:eastAsia="仿宋_GB2312"/>
          <w:color w:val="auto"/>
          <w:sz w:val="32"/>
          <w:szCs w:val="32"/>
          <w:highlight w:val="none"/>
        </w:rPr>
        <w:t>万元以上专用设备</w:t>
      </w:r>
      <w:r>
        <w:rPr>
          <w:rFonts w:hint="eastAsia" w:ascii="仿宋_GB2312" w:eastAsia="仿宋_GB2312"/>
          <w:color w:val="auto"/>
          <w:sz w:val="32"/>
          <w:szCs w:val="32"/>
          <w:highlight w:val="none"/>
          <w:lang w:val="en-US" w:eastAsia="zh-CN"/>
        </w:rPr>
        <w:t>0</w:t>
      </w:r>
      <w:r>
        <w:rPr>
          <w:rFonts w:hint="eastAsia" w:ascii="仿宋_GB2312" w:eastAsia="仿宋_GB2312"/>
          <w:color w:val="auto"/>
          <w:sz w:val="32"/>
          <w:szCs w:val="32"/>
          <w:highlight w:val="none"/>
        </w:rPr>
        <w:t>台（套）。</w:t>
      </w:r>
    </w:p>
    <w:p>
      <w:pPr>
        <w:autoSpaceDE w:val="0"/>
        <w:autoSpaceDN w:val="0"/>
        <w:adjustRightInd w:val="0"/>
        <w:spacing w:line="600" w:lineRule="exact"/>
        <w:ind w:firstLine="643" w:firstLineChars="200"/>
        <w:jc w:val="left"/>
        <w:outlineLvl w:val="2"/>
        <w:rPr>
          <w:rFonts w:hint="eastAsia" w:ascii="仿宋" w:hAnsi="仿宋" w:eastAsia="仿宋"/>
          <w:b/>
          <w:color w:val="auto"/>
          <w:sz w:val="32"/>
          <w:szCs w:val="32"/>
          <w:highlight w:val="none"/>
          <w:lang w:eastAsia="zh-CN"/>
        </w:rPr>
      </w:pPr>
      <w:r>
        <w:rPr>
          <w:rFonts w:hint="eastAsia" w:ascii="仿宋" w:hAnsi="仿宋" w:eastAsia="仿宋"/>
          <w:b/>
          <w:color w:val="auto"/>
          <w:sz w:val="32"/>
          <w:szCs w:val="32"/>
          <w:highlight w:val="none"/>
        </w:rPr>
        <w:t>（四）预算绩效管理情况</w:t>
      </w:r>
    </w:p>
    <w:p>
      <w:pPr>
        <w:pStyle w:val="2"/>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根据预算绩效管理要求，本单位在202</w:t>
      </w:r>
      <w:r>
        <w:rPr>
          <w:rFonts w:hint="eastAsia" w:hAnsi="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年度预算编制阶段，组织对</w:t>
      </w:r>
      <w:r>
        <w:rPr>
          <w:rFonts w:hint="eastAsia" w:hAnsi="仿宋_GB2312" w:cs="仿宋_GB2312"/>
          <w:color w:val="auto"/>
          <w:sz w:val="32"/>
          <w:szCs w:val="32"/>
          <w:highlight w:val="none"/>
          <w:lang w:eastAsia="zh-CN"/>
        </w:rPr>
        <w:t>政府采购专家评审费</w:t>
      </w:r>
      <w:r>
        <w:rPr>
          <w:rFonts w:hint="eastAsia" w:ascii="仿宋_GB2312" w:hAnsi="仿宋_GB2312" w:eastAsia="仿宋_GB2312" w:cs="仿宋_GB2312"/>
          <w:color w:val="auto"/>
          <w:sz w:val="32"/>
          <w:szCs w:val="32"/>
          <w:highlight w:val="none"/>
        </w:rPr>
        <w:t>等</w:t>
      </w:r>
      <w:r>
        <w:rPr>
          <w:rFonts w:hint="eastAsia" w:hAnsi="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个项目开展了预算事前绩效评估，对</w:t>
      </w:r>
      <w:r>
        <w:rPr>
          <w:rFonts w:hint="eastAsia" w:hAnsi="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个项目编制了绩效目标，预算执行过程中，选取</w:t>
      </w:r>
      <w:r>
        <w:rPr>
          <w:rFonts w:hint="eastAsia" w:hAnsi="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个项目开展绩效监控，组织对</w:t>
      </w:r>
      <w:r>
        <w:rPr>
          <w:rFonts w:hint="eastAsia" w:hAnsi="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个项目开展绩效自评，绩效自评表详见</w:t>
      </w:r>
      <w:r>
        <w:rPr>
          <w:rFonts w:hint="eastAsia" w:hAnsi="仿宋_GB2312" w:cs="仿宋_GB2312"/>
          <w:color w:val="auto"/>
          <w:sz w:val="32"/>
          <w:szCs w:val="32"/>
          <w:highlight w:val="none"/>
          <w:lang w:eastAsia="zh-CN"/>
        </w:rPr>
        <w:t>第四部分</w:t>
      </w:r>
      <w:r>
        <w:rPr>
          <w:rFonts w:hint="eastAsia" w:ascii="仿宋_GB2312" w:hAnsi="仿宋_GB2312" w:eastAsia="仿宋_GB2312" w:cs="仿宋_GB2312"/>
          <w:color w:val="auto"/>
          <w:sz w:val="32"/>
          <w:szCs w:val="32"/>
          <w:highlight w:val="none"/>
        </w:rPr>
        <w:t>附件。</w:t>
      </w:r>
    </w:p>
    <w:p>
      <w:pPr>
        <w:widowControl/>
        <w:jc w:val="left"/>
        <w:rPr>
          <w:rFonts w:ascii="仿宋_GB2312" w:eastAsia="仿宋_GB2312"/>
          <w:b/>
          <w:color w:val="auto"/>
          <w:sz w:val="32"/>
          <w:szCs w:val="32"/>
          <w:highlight w:val="none"/>
        </w:rPr>
      </w:pPr>
      <w:r>
        <w:rPr>
          <w:rFonts w:ascii="仿宋_GB2312" w:eastAsia="仿宋_GB2312"/>
          <w:b/>
          <w:color w:val="auto"/>
          <w:sz w:val="32"/>
          <w:szCs w:val="32"/>
          <w:highlight w:val="none"/>
        </w:rPr>
        <w:br w:type="page"/>
      </w:r>
    </w:p>
    <w:p>
      <w:pPr>
        <w:numPr>
          <w:ilvl w:val="0"/>
          <w:numId w:val="4"/>
        </w:numPr>
        <w:spacing w:line="600" w:lineRule="exact"/>
        <w:ind w:firstLine="660" w:firstLineChars="150"/>
        <w:jc w:val="center"/>
        <w:outlineLvl w:val="0"/>
        <w:rPr>
          <w:rStyle w:val="26"/>
          <w:rFonts w:ascii="黑体" w:hAnsi="黑体" w:eastAsia="黑体"/>
          <w:b w:val="0"/>
          <w:color w:val="auto"/>
          <w:highlight w:val="none"/>
        </w:rPr>
      </w:pPr>
      <w:bookmarkStart w:id="63" w:name="_Toc15396613"/>
      <w:bookmarkStart w:id="64" w:name="_Toc15377225"/>
      <w:bookmarkStart w:id="65" w:name="_Toc25593"/>
      <w:r>
        <w:rPr>
          <w:rFonts w:hint="eastAsia" w:ascii="黑体" w:hAnsi="黑体" w:eastAsia="黑体"/>
          <w:color w:val="auto"/>
          <w:sz w:val="44"/>
          <w:szCs w:val="44"/>
          <w:highlight w:val="none"/>
        </w:rPr>
        <w:t>名</w:t>
      </w:r>
      <w:r>
        <w:rPr>
          <w:rStyle w:val="26"/>
          <w:rFonts w:hint="eastAsia" w:ascii="黑体" w:hAnsi="黑体" w:eastAsia="黑体"/>
          <w:b w:val="0"/>
          <w:color w:val="auto"/>
          <w:highlight w:val="none"/>
        </w:rPr>
        <w:t>词解释</w:t>
      </w:r>
      <w:bookmarkEnd w:id="63"/>
      <w:bookmarkEnd w:id="64"/>
      <w:bookmarkEnd w:id="65"/>
    </w:p>
    <w:p>
      <w:pPr>
        <w:spacing w:line="600" w:lineRule="exact"/>
        <w:jc w:val="left"/>
        <w:rPr>
          <w:rFonts w:ascii="宋体"/>
          <w:b/>
          <w:color w:val="auto"/>
          <w:sz w:val="44"/>
          <w:szCs w:val="44"/>
          <w:highlight w:val="none"/>
        </w:rPr>
      </w:pPr>
    </w:p>
    <w:p>
      <w:pPr>
        <w:pStyle w:val="24"/>
        <w:spacing w:line="560" w:lineRule="exact"/>
        <w:ind w:firstLine="640" w:firstLineChars="200"/>
        <w:rPr>
          <w:rFonts w:ascii="仿宋_GB2312" w:eastAsia="仿宋_GB2312"/>
          <w:color w:val="auto"/>
          <w:sz w:val="32"/>
          <w:szCs w:val="32"/>
          <w:highlight w:val="none"/>
        </w:rPr>
      </w:pPr>
      <w:r>
        <w:rPr>
          <w:rFonts w:ascii="仿宋_GB2312" w:eastAsia="仿宋_GB2312"/>
          <w:color w:val="auto"/>
          <w:sz w:val="32"/>
          <w:szCs w:val="32"/>
          <w:highlight w:val="none"/>
        </w:rPr>
        <w:t>1.</w:t>
      </w:r>
      <w:r>
        <w:rPr>
          <w:rFonts w:hint="eastAsia" w:ascii="仿宋_GB2312" w:eastAsia="仿宋_GB2312"/>
          <w:color w:val="auto"/>
          <w:sz w:val="32"/>
          <w:szCs w:val="32"/>
          <w:highlight w:val="none"/>
        </w:rPr>
        <w:t>财政拨款收入：指单位从同级财政部门取得的财政预算资金。</w:t>
      </w:r>
    </w:p>
    <w:p>
      <w:pPr>
        <w:pStyle w:val="24"/>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2</w:t>
      </w:r>
      <w:r>
        <w:rPr>
          <w:rFonts w:ascii="仿宋_GB2312" w:eastAsia="仿宋_GB2312"/>
          <w:color w:val="auto"/>
          <w:sz w:val="32"/>
          <w:szCs w:val="32"/>
          <w:highlight w:val="none"/>
        </w:rPr>
        <w:t>.</w:t>
      </w:r>
      <w:r>
        <w:rPr>
          <w:rFonts w:hint="eastAsia" w:ascii="仿宋_GB2312" w:eastAsia="仿宋_GB2312"/>
          <w:color w:val="auto"/>
          <w:sz w:val="32"/>
          <w:szCs w:val="32"/>
          <w:highlight w:val="none"/>
        </w:rPr>
        <w:t>年初结转和结余：指以前年度尚未完成、结转到本年按有关规定继续使用的资金。</w:t>
      </w:r>
      <w:r>
        <w:rPr>
          <w:rFonts w:ascii="仿宋_GB2312" w:eastAsia="仿宋_GB2312"/>
          <w:color w:val="auto"/>
          <w:sz w:val="32"/>
          <w:szCs w:val="32"/>
          <w:highlight w:val="none"/>
        </w:rPr>
        <w:t xml:space="preserve"> </w:t>
      </w:r>
    </w:p>
    <w:p>
      <w:pPr>
        <w:pStyle w:val="24"/>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3.</w:t>
      </w:r>
      <w:r>
        <w:rPr>
          <w:rFonts w:hint="eastAsia" w:ascii="仿宋_GB2312" w:eastAsia="仿宋_GB2312"/>
          <w:color w:val="auto"/>
          <w:sz w:val="32"/>
          <w:szCs w:val="32"/>
          <w:highlight w:val="none"/>
        </w:rPr>
        <w:t>年末结转和结余：指单位按有关规定结转到下年或以后年度继续使用的资金。</w:t>
      </w:r>
    </w:p>
    <w:p>
      <w:pPr>
        <w:pStyle w:val="13"/>
        <w:keepNext w:val="0"/>
        <w:keepLines w:val="0"/>
        <w:widowControl/>
        <w:suppressLineNumbers w:val="0"/>
        <w:spacing w:before="75" w:beforeAutospacing="0" w:after="75" w:afterAutospacing="0"/>
        <w:ind w:right="0" w:firstLine="640" w:firstLineChars="200"/>
        <w:jc w:val="both"/>
        <w:rPr>
          <w:rFonts w:hint="eastAsia" w:ascii="仿宋_GB2312" w:hAnsi="仿宋_GB2312" w:eastAsia="仿宋_GB2312" w:cs="仿宋_GB2312"/>
          <w:i w:val="0"/>
          <w:caps w:val="0"/>
          <w:smallCaps w:val="0"/>
          <w:color w:val="000000"/>
          <w:spacing w:val="0"/>
          <w:kern w:val="0"/>
          <w:sz w:val="32"/>
          <w:szCs w:val="32"/>
          <w:lang w:val="en-US" w:eastAsia="zh-CN"/>
        </w:rPr>
      </w:pPr>
      <w:r>
        <w:rPr>
          <w:rFonts w:hint="eastAsia" w:ascii="仿宋_GB2312" w:hAnsi="仿宋_GB2312" w:eastAsia="仿宋_GB2312" w:cs="仿宋_GB2312"/>
          <w:i w:val="0"/>
          <w:caps w:val="0"/>
          <w:smallCaps w:val="0"/>
          <w:color w:val="000000"/>
          <w:spacing w:val="0"/>
          <w:kern w:val="0"/>
          <w:sz w:val="32"/>
          <w:szCs w:val="32"/>
          <w:lang w:val="en-US" w:eastAsia="zh-CN"/>
        </w:rPr>
        <w:t>4.一般公共服务支出（类）政府办公厅（室）及相关机构事务（款）事业运行（项）：反映事业单位的基本支出。</w:t>
      </w:r>
    </w:p>
    <w:p>
      <w:pPr>
        <w:pStyle w:val="13"/>
        <w:keepNext w:val="0"/>
        <w:keepLines w:val="0"/>
        <w:widowControl/>
        <w:suppressLineNumbers w:val="0"/>
        <w:spacing w:before="75" w:beforeAutospacing="0" w:after="75" w:afterAutospacing="0"/>
        <w:ind w:right="0" w:firstLine="640" w:firstLineChars="200"/>
        <w:jc w:val="both"/>
        <w:rPr>
          <w:rFonts w:hint="eastAsia" w:ascii="仿宋" w:hAnsi="仿宋" w:eastAsia="仿宋" w:cs="仿宋"/>
          <w:i w:val="0"/>
          <w:caps w:val="0"/>
          <w:color w:val="000000"/>
          <w:spacing w:val="0"/>
          <w:kern w:val="0"/>
          <w:sz w:val="32"/>
          <w:szCs w:val="32"/>
          <w:lang w:val="en-US" w:eastAsia="zh-CN" w:bidi="ar"/>
        </w:rPr>
      </w:pPr>
      <w:r>
        <w:rPr>
          <w:rFonts w:hint="eastAsia" w:ascii="仿宋_GB2312" w:hAnsi="仿宋_GB2312" w:eastAsia="仿宋_GB2312" w:cs="仿宋_GB2312"/>
          <w:i w:val="0"/>
          <w:caps w:val="0"/>
          <w:smallCaps w:val="0"/>
          <w:color w:val="000000"/>
          <w:spacing w:val="0"/>
          <w:kern w:val="0"/>
          <w:sz w:val="32"/>
          <w:szCs w:val="32"/>
          <w:lang w:val="en-US" w:eastAsia="zh-CN"/>
        </w:rPr>
        <w:t>5.一般公共服务支出（类）政府办公厅（室）及相关机构事务（款）其他政府办公厅（室）及相关机构事务支出（项）：反映事业单位</w:t>
      </w:r>
      <w:r>
        <w:rPr>
          <w:rFonts w:hint="eastAsia" w:ascii="仿宋" w:hAnsi="仿宋" w:eastAsia="仿宋" w:cs="仿宋"/>
          <w:i w:val="0"/>
          <w:caps w:val="0"/>
          <w:color w:val="000000"/>
          <w:spacing w:val="0"/>
          <w:kern w:val="0"/>
          <w:sz w:val="32"/>
          <w:szCs w:val="32"/>
          <w:lang w:val="en-US" w:eastAsia="zh-CN" w:bidi="ar"/>
        </w:rPr>
        <w:t>未单独设置项级科目的其他项目支出。</w:t>
      </w:r>
    </w:p>
    <w:p>
      <w:pPr>
        <w:pStyle w:val="13"/>
        <w:keepNext w:val="0"/>
        <w:keepLines w:val="0"/>
        <w:widowControl/>
        <w:suppressLineNumbers w:val="0"/>
        <w:spacing w:before="75" w:beforeAutospacing="0" w:after="75" w:afterAutospacing="0"/>
        <w:ind w:right="0" w:firstLine="640" w:firstLineChars="200"/>
        <w:jc w:val="both"/>
        <w:rPr>
          <w:rFonts w:hint="eastAsia" w:ascii="仿宋_GB2312" w:hAnsi="仿宋_GB2312" w:eastAsia="仿宋_GB2312" w:cs="仿宋_GB2312"/>
          <w:i w:val="0"/>
          <w:caps w:val="0"/>
          <w:smallCaps w:val="0"/>
          <w:color w:val="000000"/>
          <w:spacing w:val="0"/>
          <w:kern w:val="0"/>
          <w:sz w:val="32"/>
          <w:szCs w:val="32"/>
          <w:lang w:val="en-US" w:eastAsia="zh-CN"/>
        </w:rPr>
      </w:pPr>
      <w:r>
        <w:rPr>
          <w:rFonts w:hint="eastAsia" w:ascii="仿宋_GB2312" w:hAnsi="仿宋_GB2312" w:eastAsia="仿宋_GB2312" w:cs="仿宋_GB2312"/>
          <w:i w:val="0"/>
          <w:caps w:val="0"/>
          <w:smallCaps w:val="0"/>
          <w:color w:val="000000"/>
          <w:spacing w:val="0"/>
          <w:kern w:val="0"/>
          <w:sz w:val="32"/>
          <w:szCs w:val="32"/>
          <w:lang w:val="en-US" w:eastAsia="zh-CN"/>
        </w:rPr>
        <w:t>6.社会保障和就业支出（类）行政事业单位养老支出（款）事业单位离退休（项）：反映事业单位退休人员相关支出。</w:t>
      </w:r>
    </w:p>
    <w:p>
      <w:pPr>
        <w:pStyle w:val="13"/>
        <w:keepNext w:val="0"/>
        <w:keepLines w:val="0"/>
        <w:widowControl/>
        <w:suppressLineNumbers w:val="0"/>
        <w:spacing w:before="75" w:beforeAutospacing="0" w:after="75" w:afterAutospacing="0"/>
        <w:ind w:right="0" w:firstLine="640" w:firstLineChars="200"/>
        <w:jc w:val="left"/>
        <w:rPr>
          <w:rFonts w:hint="eastAsia" w:ascii="仿宋_GB2312" w:hAnsi="仿宋_GB2312" w:eastAsia="仿宋_GB2312" w:cs="仿宋_GB2312"/>
          <w:i w:val="0"/>
          <w:caps w:val="0"/>
          <w:smallCaps w:val="0"/>
          <w:color w:val="000000"/>
          <w:spacing w:val="0"/>
          <w:kern w:val="0"/>
          <w:sz w:val="32"/>
          <w:szCs w:val="32"/>
          <w:lang w:val="en-US" w:eastAsia="zh-CN"/>
        </w:rPr>
      </w:pPr>
      <w:r>
        <w:rPr>
          <w:rFonts w:hint="eastAsia" w:ascii="仿宋_GB2312" w:hAnsi="仿宋_GB2312" w:eastAsia="仿宋_GB2312" w:cs="仿宋_GB2312"/>
          <w:i w:val="0"/>
          <w:caps w:val="0"/>
          <w:smallCaps w:val="0"/>
          <w:color w:val="000000"/>
          <w:spacing w:val="0"/>
          <w:kern w:val="0"/>
          <w:sz w:val="32"/>
          <w:szCs w:val="32"/>
          <w:lang w:val="en-US" w:eastAsia="zh-CN"/>
        </w:rPr>
        <w:t>7.社会保障和就业支出（类）行政事业单位养老支出（款）机关事业单位基本养老保险缴费支出（项）：反映机关事业单位实施养老保险制度由单位实际缴纳的基本养老保险支出。</w:t>
      </w:r>
    </w:p>
    <w:p>
      <w:pPr>
        <w:pStyle w:val="13"/>
        <w:keepNext w:val="0"/>
        <w:keepLines w:val="0"/>
        <w:widowControl/>
        <w:suppressLineNumbers w:val="0"/>
        <w:spacing w:before="75" w:beforeAutospacing="0" w:after="75" w:afterAutospacing="0"/>
        <w:ind w:right="0" w:firstLine="640" w:firstLineChars="200"/>
        <w:jc w:val="both"/>
        <w:rPr>
          <w:rFonts w:hint="eastAsia" w:ascii="仿宋_GB2312" w:hAnsi="仿宋_GB2312" w:eastAsia="仿宋_GB2312" w:cs="仿宋_GB2312"/>
          <w:i w:val="0"/>
          <w:caps w:val="0"/>
          <w:smallCaps w:val="0"/>
          <w:color w:val="000000"/>
          <w:spacing w:val="0"/>
          <w:kern w:val="0"/>
          <w:sz w:val="32"/>
          <w:szCs w:val="32"/>
          <w:lang w:val="en-US" w:eastAsia="zh-CN"/>
        </w:rPr>
      </w:pPr>
      <w:r>
        <w:rPr>
          <w:rFonts w:hint="eastAsia" w:ascii="仿宋_GB2312" w:hAnsi="仿宋_GB2312" w:eastAsia="仿宋_GB2312" w:cs="仿宋_GB2312"/>
          <w:i w:val="0"/>
          <w:caps w:val="0"/>
          <w:smallCaps w:val="0"/>
          <w:color w:val="000000"/>
          <w:spacing w:val="0"/>
          <w:kern w:val="0"/>
          <w:sz w:val="32"/>
          <w:szCs w:val="32"/>
          <w:lang w:val="en-US" w:eastAsia="zh-CN"/>
        </w:rPr>
        <w:t>8.卫生健康支出（类）行政事业单位医疗（款）事业单位医疗（项）：反映财政部门安排的事业单位基本医疗保险缴费经费，未参加医疗保险的行政单位的公费医疗经费，按国家规定享受离休人员待遇人员的医疗经费。</w:t>
      </w:r>
    </w:p>
    <w:p>
      <w:pPr>
        <w:ind w:firstLine="640" w:firstLineChars="200"/>
        <w:rPr>
          <w:rFonts w:hint="eastAsia" w:ascii="仿宋_GB2312" w:hAnsi="仿宋_GB2312" w:eastAsia="仿宋_GB2312" w:cs="仿宋_GB2312"/>
          <w:i w:val="0"/>
          <w:caps w:val="0"/>
          <w:smallCaps w:val="0"/>
          <w:color w:val="000000"/>
          <w:spacing w:val="0"/>
          <w:kern w:val="0"/>
          <w:sz w:val="32"/>
          <w:szCs w:val="32"/>
          <w:lang w:val="en-US" w:eastAsia="zh-CN"/>
        </w:rPr>
      </w:pPr>
      <w:r>
        <w:rPr>
          <w:rFonts w:hint="eastAsia" w:ascii="仿宋_GB2312" w:hAnsi="仿宋_GB2312" w:eastAsia="仿宋_GB2312" w:cs="仿宋_GB2312"/>
          <w:i w:val="0"/>
          <w:caps w:val="0"/>
          <w:smallCaps w:val="0"/>
          <w:color w:val="000000"/>
          <w:spacing w:val="0"/>
          <w:kern w:val="0"/>
          <w:sz w:val="32"/>
          <w:szCs w:val="32"/>
          <w:lang w:val="en-US" w:eastAsia="zh-CN"/>
        </w:rPr>
        <w:t>9.住房保障支出（类）住房改革支出（款）住房公积金（项）：反映行政事业单位按人力资源和社会保障部、财政部规定的基本工资和津贴补贴以及规定比例为职工缴纳的住房公积金。</w:t>
      </w:r>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10</w:t>
      </w:r>
      <w:r>
        <w:rPr>
          <w:rFonts w:ascii="仿宋_GB2312" w:eastAsia="仿宋_GB2312"/>
          <w:color w:val="auto"/>
          <w:sz w:val="32"/>
          <w:szCs w:val="32"/>
          <w:highlight w:val="none"/>
        </w:rPr>
        <w:t>.</w:t>
      </w:r>
      <w:r>
        <w:rPr>
          <w:rFonts w:hint="eastAsia" w:ascii="仿宋_GB2312" w:eastAsia="仿宋_GB2312"/>
          <w:color w:val="auto"/>
          <w:sz w:val="32"/>
          <w:szCs w:val="32"/>
          <w:highlight w:val="none"/>
        </w:rPr>
        <w:t>基本支出：指为保障机构正常运转、完成日常工作任务而发生的人员支出和公用支出。</w:t>
      </w:r>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11</w:t>
      </w:r>
      <w:r>
        <w:rPr>
          <w:rFonts w:ascii="仿宋_GB2312" w:eastAsia="仿宋_GB2312"/>
          <w:color w:val="auto"/>
          <w:sz w:val="32"/>
          <w:szCs w:val="32"/>
          <w:highlight w:val="none"/>
        </w:rPr>
        <w:t>.</w:t>
      </w:r>
      <w:r>
        <w:rPr>
          <w:rFonts w:hint="eastAsia" w:ascii="仿宋_GB2312" w:eastAsia="仿宋_GB2312"/>
          <w:color w:val="auto"/>
          <w:sz w:val="32"/>
          <w:szCs w:val="32"/>
          <w:highlight w:val="none"/>
        </w:rPr>
        <w:t>项目支出：指在基本支出之外为完成特定行政任务和事业发展目标所发生的支出。</w:t>
      </w:r>
      <w:r>
        <w:rPr>
          <w:rFonts w:ascii="仿宋_GB2312" w:eastAsia="仿宋_GB2312"/>
          <w:color w:val="auto"/>
          <w:sz w:val="32"/>
          <w:szCs w:val="32"/>
          <w:highlight w:val="none"/>
        </w:rPr>
        <w:t xml:space="preserve"> </w:t>
      </w:r>
    </w:p>
    <w:p>
      <w:pPr>
        <w:pStyle w:val="24"/>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12</w:t>
      </w:r>
      <w:r>
        <w:rPr>
          <w:rFonts w:ascii="仿宋_GB2312" w:eastAsia="仿宋_GB2312"/>
          <w:color w:val="auto"/>
          <w:sz w:val="32"/>
          <w:szCs w:val="32"/>
          <w:highlight w:val="none"/>
        </w:rPr>
        <w:t>.</w:t>
      </w:r>
      <w:r>
        <w:rPr>
          <w:rFonts w:hint="eastAsia" w:ascii="仿宋_GB2312" w:eastAsia="仿宋_GB2312"/>
          <w:color w:val="auto"/>
          <w:sz w:val="32"/>
          <w:szCs w:val="32"/>
          <w:highlight w:val="none"/>
        </w:rPr>
        <w:t>“三公”经费：指</w:t>
      </w:r>
      <w:r>
        <w:rPr>
          <w:rFonts w:hint="eastAsia" w:ascii="仿宋_GB2312" w:eastAsia="仿宋_GB2312"/>
          <w:color w:val="auto"/>
          <w:sz w:val="32"/>
          <w:szCs w:val="32"/>
          <w:highlight w:val="none"/>
          <w:lang w:eastAsia="zh-CN"/>
        </w:rPr>
        <w:t>单位</w:t>
      </w:r>
      <w:r>
        <w:rPr>
          <w:rFonts w:hint="eastAsia" w:ascii="仿宋_GB2312" w:eastAsia="仿宋_GB2312"/>
          <w:color w:val="auto"/>
          <w:sz w:val="32"/>
          <w:szCs w:val="32"/>
          <w:highlight w:val="none"/>
        </w:rPr>
        <w:t>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spacing w:line="600" w:lineRule="exact"/>
        <w:jc w:val="center"/>
        <w:outlineLvl w:val="9"/>
        <w:rPr>
          <w:rFonts w:hint="eastAsia" w:ascii="黑体" w:hAnsi="黑体" w:eastAsia="黑体"/>
          <w:color w:val="auto"/>
          <w:sz w:val="44"/>
          <w:szCs w:val="44"/>
          <w:highlight w:val="none"/>
        </w:rPr>
      </w:pPr>
      <w:bookmarkStart w:id="66" w:name="_Toc15396614"/>
      <w:bookmarkStart w:id="67" w:name="_Toc15377226"/>
    </w:p>
    <w:p>
      <w:pPr>
        <w:pStyle w:val="2"/>
        <w:rPr>
          <w:rFonts w:hint="eastAsia" w:ascii="黑体" w:hAnsi="黑体" w:eastAsia="黑体"/>
          <w:color w:val="auto"/>
          <w:sz w:val="44"/>
          <w:szCs w:val="44"/>
          <w:highlight w:val="none"/>
        </w:rPr>
      </w:pPr>
    </w:p>
    <w:p>
      <w:pPr>
        <w:pStyle w:val="3"/>
        <w:rPr>
          <w:rFonts w:hint="eastAsia" w:ascii="黑体" w:hAnsi="黑体" w:eastAsia="黑体"/>
          <w:color w:val="auto"/>
          <w:sz w:val="44"/>
          <w:szCs w:val="44"/>
          <w:highlight w:val="none"/>
        </w:rPr>
      </w:pPr>
    </w:p>
    <w:p>
      <w:pPr>
        <w:rPr>
          <w:rFonts w:hint="eastAsia"/>
        </w:rPr>
      </w:pPr>
    </w:p>
    <w:p>
      <w:pPr>
        <w:spacing w:line="600" w:lineRule="exact"/>
        <w:jc w:val="center"/>
        <w:outlineLvl w:val="9"/>
        <w:rPr>
          <w:rFonts w:hint="eastAsia" w:ascii="黑体" w:hAnsi="黑体" w:eastAsia="黑体"/>
          <w:color w:val="auto"/>
          <w:sz w:val="44"/>
          <w:szCs w:val="44"/>
          <w:highlight w:val="none"/>
        </w:rPr>
      </w:pPr>
    </w:p>
    <w:p>
      <w:pPr>
        <w:spacing w:line="600" w:lineRule="exact"/>
        <w:ind w:firstLine="2200" w:firstLineChars="500"/>
        <w:jc w:val="both"/>
        <w:outlineLvl w:val="0"/>
        <w:rPr>
          <w:rStyle w:val="26"/>
          <w:rFonts w:ascii="黑体" w:hAnsi="黑体" w:eastAsia="黑体"/>
          <w:b w:val="0"/>
          <w:color w:val="auto"/>
          <w:highlight w:val="none"/>
        </w:rPr>
      </w:pPr>
      <w:bookmarkStart w:id="68" w:name="_Toc3831"/>
      <w:r>
        <w:rPr>
          <w:rFonts w:hint="eastAsia" w:ascii="黑体" w:hAnsi="黑体" w:eastAsia="黑体"/>
          <w:color w:val="auto"/>
          <w:sz w:val="44"/>
          <w:szCs w:val="44"/>
          <w:highlight w:val="none"/>
        </w:rPr>
        <w:t>第</w:t>
      </w:r>
      <w:r>
        <w:rPr>
          <w:rStyle w:val="26"/>
          <w:rFonts w:hint="eastAsia" w:ascii="黑体" w:hAnsi="黑体" w:eastAsia="黑体"/>
          <w:b w:val="0"/>
          <w:color w:val="auto"/>
          <w:highlight w:val="none"/>
        </w:rPr>
        <w:t>四部分 附件</w:t>
      </w:r>
      <w:bookmarkEnd w:id="66"/>
      <w:bookmarkEnd w:id="68"/>
    </w:p>
    <w:p>
      <w:pPr>
        <w:keepNext w:val="0"/>
        <w:keepLines w:val="0"/>
        <w:pageBreakBefore w:val="0"/>
        <w:kinsoku/>
        <w:wordWrap/>
        <w:overflowPunct/>
        <w:topLinePunct w:val="0"/>
        <w:autoSpaceDE/>
        <w:autoSpaceDN/>
        <w:bidi w:val="0"/>
        <w:spacing w:line="572" w:lineRule="exact"/>
        <w:jc w:val="left"/>
        <w:textAlignment w:val="auto"/>
        <w:outlineLvl w:val="9"/>
        <w:rPr>
          <w:rFonts w:ascii="仿宋_GB2312" w:hAnsi="仿宋_GB2312" w:eastAsia="仿宋_GB2312" w:cs="仿宋_GB2312"/>
          <w:color w:val="auto"/>
          <w:sz w:val="32"/>
          <w:szCs w:val="32"/>
          <w:highlight w:val="none"/>
        </w:rPr>
      </w:pPr>
    </w:p>
    <w:p>
      <w:pPr>
        <w:spacing w:line="600" w:lineRule="exact"/>
        <w:jc w:val="center"/>
        <w:outlineLvl w:val="1"/>
        <w:rPr>
          <w:rFonts w:hint="eastAsia" w:ascii="宋体" w:hAnsi="宋体" w:eastAsia="宋体" w:cs="宋体"/>
          <w:color w:val="auto"/>
          <w:kern w:val="0"/>
          <w:sz w:val="32"/>
          <w:szCs w:val="32"/>
          <w:highlight w:val="none"/>
          <w:lang w:val="en-US" w:eastAsia="zh-CN" w:bidi="ar-SA"/>
        </w:rPr>
        <w:sectPr>
          <w:footerReference r:id="rId5" w:type="first"/>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pPr>
      <w:bookmarkStart w:id="69" w:name="_Toc9370"/>
      <w:bookmarkStart w:id="70" w:name="_Toc15396618"/>
      <w:r>
        <w:rPr>
          <w:rFonts w:hint="eastAsia" w:ascii="宋体" w:hAnsi="宋体" w:eastAsia="宋体" w:cs="宋体"/>
          <w:color w:val="auto"/>
          <w:kern w:val="0"/>
          <w:sz w:val="32"/>
          <w:szCs w:val="32"/>
          <w:highlight w:val="none"/>
          <w:lang w:val="en-US" w:eastAsia="zh-CN" w:bidi="ar-SA"/>
        </w:rPr>
        <w:t>部门预算项目支出绩效自评表（2022年度）</w:t>
      </w:r>
      <w:bookmarkEnd w:id="69"/>
    </w:p>
    <w:tbl>
      <w:tblPr>
        <w:tblStyle w:val="14"/>
        <w:tblW w:w="1411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87"/>
        <w:gridCol w:w="2018"/>
        <w:gridCol w:w="1744"/>
        <w:gridCol w:w="2227"/>
        <w:gridCol w:w="522"/>
        <w:gridCol w:w="1650"/>
        <w:gridCol w:w="522"/>
        <w:gridCol w:w="1086"/>
        <w:gridCol w:w="576"/>
        <w:gridCol w:w="576"/>
        <w:gridCol w:w="250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4" w:hRule="atLeast"/>
        </w:trPr>
        <w:tc>
          <w:tcPr>
            <w:tcW w:w="14115"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黑体" w:hAnsi="宋体" w:eastAsia="黑体" w:cs="黑体"/>
                <w:b/>
                <w:bCs/>
                <w:i w:val="0"/>
                <w:iCs w:val="0"/>
                <w:color w:val="000000"/>
                <w:sz w:val="30"/>
                <w:szCs w:val="30"/>
                <w:u w:val="none"/>
              </w:rPr>
            </w:pPr>
            <w:r>
              <w:rPr>
                <w:rFonts w:hint="eastAsia" w:ascii="黑体" w:hAnsi="宋体" w:eastAsia="黑体" w:cs="黑体"/>
                <w:b/>
                <w:bCs/>
                <w:i w:val="0"/>
                <w:iCs w:val="0"/>
                <w:color w:val="000000"/>
                <w:kern w:val="0"/>
                <w:sz w:val="30"/>
                <w:szCs w:val="30"/>
                <w:u w:val="none"/>
                <w:lang w:val="en-US" w:eastAsia="zh-CN" w:bidi="ar"/>
              </w:rPr>
              <w:t>部门预算项目支出绩效自评表（2022年度）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7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项目名称</w:t>
            </w:r>
          </w:p>
        </w:tc>
        <w:tc>
          <w:tcPr>
            <w:tcW w:w="1137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51000021R000000019951-工资性支出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4" w:hRule="atLeast"/>
        </w:trPr>
        <w:tc>
          <w:tcPr>
            <w:tcW w:w="27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主管部门</w:t>
            </w:r>
          </w:p>
        </w:tc>
        <w:tc>
          <w:tcPr>
            <w:tcW w:w="67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广元市政务服务和公共资源交易中心部门</w:t>
            </w:r>
          </w:p>
        </w:tc>
        <w:tc>
          <w:tcPr>
            <w:tcW w:w="1095" w:type="dxa"/>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实施单位 （盖章）</w:t>
            </w:r>
          </w:p>
        </w:tc>
        <w:tc>
          <w:tcPr>
            <w:tcW w:w="35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广元市公共资源交易信息中心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项目基本情况</w:t>
            </w:r>
          </w:p>
        </w:tc>
        <w:tc>
          <w:tcPr>
            <w:tcW w:w="20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1.项目年度目标完成情况</w:t>
            </w:r>
          </w:p>
        </w:tc>
        <w:tc>
          <w:tcPr>
            <w:tcW w:w="67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项目年度目标</w:t>
            </w:r>
          </w:p>
        </w:tc>
        <w:tc>
          <w:tcPr>
            <w:tcW w:w="46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年度目标完成情况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9"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7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严格执行相关政策，保障工资及时发放、足额发放，预算编制科学合理，减少结余资金</w:t>
            </w:r>
            <w:r>
              <w:rPr>
                <w:rFonts w:hint="eastAsia" w:ascii="宋体" w:hAnsi="宋体" w:cs="宋体"/>
                <w:i w:val="0"/>
                <w:iCs w:val="0"/>
                <w:color w:val="000000"/>
                <w:kern w:val="0"/>
                <w:sz w:val="18"/>
                <w:szCs w:val="18"/>
                <w:u w:val="none"/>
                <w:lang w:val="en-US" w:eastAsia="zh-CN" w:bidi="ar"/>
              </w:rPr>
              <w:t>。</w:t>
            </w:r>
          </w:p>
        </w:tc>
        <w:tc>
          <w:tcPr>
            <w:tcW w:w="46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严格执行相关政策，保障</w:t>
            </w:r>
            <w:r>
              <w:rPr>
                <w:rFonts w:hint="eastAsia" w:ascii="宋体" w:hAnsi="宋体" w:cs="宋体"/>
                <w:i w:val="0"/>
                <w:iCs w:val="0"/>
                <w:color w:val="000000"/>
                <w:kern w:val="0"/>
                <w:sz w:val="18"/>
                <w:szCs w:val="18"/>
                <w:u w:val="none"/>
                <w:lang w:val="en-US" w:eastAsia="zh-CN" w:bidi="ar"/>
              </w:rPr>
              <w:t>职工</w:t>
            </w:r>
            <w:r>
              <w:rPr>
                <w:rFonts w:ascii="宋体" w:hAnsi="宋体" w:eastAsia="宋体" w:cs="宋体"/>
                <w:i w:val="0"/>
                <w:iCs w:val="0"/>
                <w:color w:val="000000"/>
                <w:kern w:val="0"/>
                <w:sz w:val="18"/>
                <w:szCs w:val="18"/>
                <w:u w:val="none"/>
                <w:lang w:val="en-US" w:eastAsia="zh-CN" w:bidi="ar"/>
              </w:rPr>
              <w:t>工资及时发放、足额发放</w:t>
            </w:r>
            <w:r>
              <w:rPr>
                <w:rFonts w:hint="eastAsia" w:ascii="宋体" w:hAnsi="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4"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2.项目实施内容及过程概述</w:t>
            </w:r>
          </w:p>
        </w:tc>
        <w:tc>
          <w:tcPr>
            <w:tcW w:w="1137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lang w:eastAsia="zh-CN"/>
              </w:rPr>
            </w:pPr>
            <w:r>
              <w:rPr>
                <w:rFonts w:hint="eastAsia" w:ascii="宋体" w:hAnsi="宋体" w:cs="宋体"/>
                <w:i w:val="0"/>
                <w:iCs w:val="0"/>
                <w:color w:val="000000"/>
                <w:sz w:val="18"/>
                <w:szCs w:val="18"/>
                <w:u w:val="none"/>
                <w:lang w:eastAsia="zh-CN"/>
              </w:rPr>
              <w:t>按月及时、足额发放职工工资。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预算执行情况（10分）</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年度预算数（万元）</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年初预算</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调整后预算数</w:t>
            </w: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预算执行数</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预算执行率</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原因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7"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总额</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100.88</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160.39</w:t>
            </w: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149.46</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93.19%</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9</w:t>
            </w:r>
          </w:p>
        </w:tc>
        <w:tc>
          <w:tcPr>
            <w:tcW w:w="25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1.预算执行率=预算执行数/调整后预算数，预算执行率未达到90%的需说明原因（100字以内）;2.年中发生预算调整的（追加或调减）,应单独说明理由；3.其他资金包括：社会投入资金、银行贷款.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其中：财政资金</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100.88</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160.39</w:t>
            </w: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149.46</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93.19%</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25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黑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7"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财政专户管理资金</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25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黑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单位资金</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25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黑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其他资金</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25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黑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绩效指标（90分）</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一级指标</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二级指标</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三级指标</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指标性质</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指标值</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度量单位</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完成值</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未完成原因分析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产出指标</w:t>
            </w:r>
          </w:p>
        </w:tc>
        <w:tc>
          <w:tcPr>
            <w:tcW w:w="17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数量指标</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科目调整次数</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次</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微软雅黑" w:hAnsi="微软雅黑" w:eastAsia="微软雅黑" w:cs="微软雅黑"/>
                <w:i w:val="0"/>
                <w:iCs w:val="0"/>
                <w:color w:val="000000"/>
                <w:sz w:val="16"/>
                <w:szCs w:val="16"/>
                <w:u w:val="none"/>
                <w:lang w:val="en-US" w:eastAsia="zh-CN"/>
              </w:rPr>
            </w:pPr>
            <w:r>
              <w:rPr>
                <w:rFonts w:hint="eastAsia" w:ascii="微软雅黑" w:hAnsi="微软雅黑" w:eastAsia="微软雅黑" w:cs="微软雅黑"/>
                <w:i w:val="0"/>
                <w:iCs w:val="0"/>
                <w:color w:val="000000"/>
                <w:sz w:val="16"/>
                <w:szCs w:val="16"/>
                <w:u w:val="none"/>
                <w:lang w:val="en-US" w:eastAsia="zh-CN"/>
              </w:rPr>
              <w:t>100%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22.5</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22.5</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足额保障率</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sz w:val="16"/>
                <w:szCs w:val="16"/>
                <w:u w:val="none"/>
                <w:lang w:val="en-US" w:eastAsia="zh-CN"/>
              </w:rPr>
              <w:t>100%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22.5</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22.5</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时效指标</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按时发放率</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sz w:val="16"/>
                <w:szCs w:val="16"/>
                <w:u w:val="none"/>
                <w:lang w:val="en-US" w:eastAsia="zh-CN"/>
              </w:rPr>
              <w:t>100%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22.5</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22.5</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效益指标</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经济效益指标</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结余率（计算方法为：结余数/预算数）</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微软雅黑" w:hAnsi="微软雅黑" w:eastAsia="微软雅黑" w:cs="微软雅黑"/>
                <w:i w:val="0"/>
                <w:iCs w:val="0"/>
                <w:color w:val="000000"/>
                <w:sz w:val="16"/>
                <w:szCs w:val="16"/>
                <w:u w:val="none"/>
                <w:lang w:val="en-US" w:eastAsia="zh-CN"/>
              </w:rPr>
            </w:pPr>
            <w:r>
              <w:rPr>
                <w:rFonts w:hint="eastAsia" w:ascii="微软雅黑" w:hAnsi="微软雅黑" w:eastAsia="微软雅黑" w:cs="微软雅黑"/>
                <w:i w:val="0"/>
                <w:iCs w:val="0"/>
                <w:color w:val="000000"/>
                <w:sz w:val="16"/>
                <w:szCs w:val="16"/>
                <w:u w:val="none"/>
                <w:lang w:val="en-US" w:eastAsia="zh-CN"/>
              </w:rPr>
              <w:t>90%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22.5</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20.5</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lang w:eastAsia="zh-CN"/>
              </w:rPr>
            </w:pPr>
            <w:r>
              <w:rPr>
                <w:rFonts w:hint="eastAsia" w:ascii="微软雅黑" w:hAnsi="微软雅黑" w:eastAsia="微软雅黑" w:cs="微软雅黑"/>
                <w:i w:val="0"/>
                <w:iCs w:val="0"/>
                <w:color w:val="000000"/>
                <w:sz w:val="16"/>
                <w:szCs w:val="16"/>
                <w:u w:val="none"/>
                <w:lang w:eastAsia="zh-CN"/>
              </w:rPr>
              <w:t>年末调整追加的目标绩效奖保险部分尚未支付。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60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合计</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97</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评价结论</w:t>
            </w:r>
          </w:p>
        </w:tc>
        <w:tc>
          <w:tcPr>
            <w:tcW w:w="1342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该项目自评总分97分，该项目顺利实施，保障了职工的合法权益，调动了职工的工作积极性。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存在问题</w:t>
            </w:r>
          </w:p>
        </w:tc>
        <w:tc>
          <w:tcPr>
            <w:tcW w:w="1342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sz w:val="16"/>
                <w:szCs w:val="16"/>
                <w:u w:val="none"/>
                <w:lang w:eastAsia="zh-CN"/>
              </w:rPr>
              <w:t>年末调整追加的目标绩效奖保险部分尚未支付。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改进措施</w:t>
            </w:r>
          </w:p>
        </w:tc>
        <w:tc>
          <w:tcPr>
            <w:tcW w:w="1342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lang w:eastAsia="zh-CN"/>
              </w:rPr>
            </w:pPr>
            <w:r>
              <w:rPr>
                <w:rFonts w:hint="eastAsia" w:ascii="微软雅黑" w:hAnsi="微软雅黑" w:eastAsia="微软雅黑" w:cs="微软雅黑"/>
                <w:i w:val="0"/>
                <w:iCs w:val="0"/>
                <w:color w:val="000000"/>
                <w:sz w:val="16"/>
                <w:szCs w:val="16"/>
                <w:u w:val="none"/>
                <w:lang w:eastAsia="zh-CN"/>
              </w:rPr>
              <w:t>及时支付职工保险费用。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3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项目负责人：袁玲</w:t>
            </w:r>
          </w:p>
        </w:tc>
        <w:tc>
          <w:tcPr>
            <w:tcW w:w="681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财务负责人：陈榕</w:t>
            </w:r>
          </w:p>
        </w:tc>
      </w:tr>
    </w:tbl>
    <w:p>
      <w:pPr>
        <w:pStyle w:val="2"/>
        <w:rPr>
          <w:rFonts w:hint="eastAsia"/>
          <w:lang w:val="en-US" w:eastAsia="zh-CN"/>
        </w:rPr>
      </w:pPr>
    </w:p>
    <w:p>
      <w:pPr>
        <w:pStyle w:val="2"/>
        <w:rPr>
          <w:rFonts w:hint="eastAsia" w:ascii="宋体" w:hAnsi="宋体" w:eastAsia="宋体" w:cs="宋体"/>
          <w:color w:val="auto"/>
          <w:kern w:val="0"/>
          <w:sz w:val="32"/>
          <w:szCs w:val="32"/>
          <w:highlight w:val="none"/>
          <w:lang w:val="en-US" w:eastAsia="zh-CN" w:bidi="ar-SA"/>
        </w:rPr>
      </w:pPr>
    </w:p>
    <w:p>
      <w:pPr>
        <w:pStyle w:val="3"/>
        <w:rPr>
          <w:rFonts w:hint="eastAsia"/>
          <w:lang w:val="en-US" w:eastAsia="zh-CN"/>
        </w:rPr>
      </w:pPr>
    </w:p>
    <w:tbl>
      <w:tblPr>
        <w:tblStyle w:val="14"/>
        <w:tblW w:w="1411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87"/>
        <w:gridCol w:w="2019"/>
        <w:gridCol w:w="1741"/>
        <w:gridCol w:w="2224"/>
        <w:gridCol w:w="522"/>
        <w:gridCol w:w="1651"/>
        <w:gridCol w:w="522"/>
        <w:gridCol w:w="1089"/>
        <w:gridCol w:w="576"/>
        <w:gridCol w:w="576"/>
        <w:gridCol w:w="25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4" w:hRule="atLeast"/>
        </w:trPr>
        <w:tc>
          <w:tcPr>
            <w:tcW w:w="14115"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黑体" w:hAnsi="宋体" w:eastAsia="黑体" w:cs="黑体"/>
                <w:b/>
                <w:bCs/>
                <w:i w:val="0"/>
                <w:iCs w:val="0"/>
                <w:color w:val="000000"/>
                <w:sz w:val="30"/>
                <w:szCs w:val="30"/>
                <w:u w:val="none"/>
              </w:rPr>
            </w:pPr>
            <w:r>
              <w:rPr>
                <w:rFonts w:hint="eastAsia" w:ascii="黑体" w:hAnsi="宋体" w:eastAsia="黑体" w:cs="黑体"/>
                <w:b/>
                <w:bCs/>
                <w:i w:val="0"/>
                <w:iCs w:val="0"/>
                <w:color w:val="000000"/>
                <w:kern w:val="0"/>
                <w:sz w:val="30"/>
                <w:szCs w:val="30"/>
                <w:u w:val="none"/>
                <w:lang w:val="en-US" w:eastAsia="zh-CN" w:bidi="ar"/>
              </w:rPr>
              <w:t>部门预算项目支出绩效自评表（2022年度）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7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项目名称</w:t>
            </w:r>
          </w:p>
        </w:tc>
        <w:tc>
          <w:tcPr>
            <w:tcW w:w="1137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51000021R000000019956-离退休费支出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4" w:hRule="atLeast"/>
        </w:trPr>
        <w:tc>
          <w:tcPr>
            <w:tcW w:w="27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主管部门</w:t>
            </w:r>
          </w:p>
        </w:tc>
        <w:tc>
          <w:tcPr>
            <w:tcW w:w="67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广元市政务服务和公共资源交易中心部门</w:t>
            </w:r>
          </w:p>
        </w:tc>
        <w:tc>
          <w:tcPr>
            <w:tcW w:w="1095"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实施单位 （盖章）</w:t>
            </w:r>
          </w:p>
        </w:tc>
        <w:tc>
          <w:tcPr>
            <w:tcW w:w="35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广元市公共资源交易信息中心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项目基本情况</w:t>
            </w:r>
          </w:p>
        </w:tc>
        <w:tc>
          <w:tcPr>
            <w:tcW w:w="20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1.项目年度目标完成情况</w:t>
            </w:r>
          </w:p>
        </w:tc>
        <w:tc>
          <w:tcPr>
            <w:tcW w:w="67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项目年度目标</w:t>
            </w:r>
          </w:p>
        </w:tc>
        <w:tc>
          <w:tcPr>
            <w:tcW w:w="46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年度目标完成情况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9"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67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严格执行相关政策，保障工资及时发放、足额发放，预算编制科学合理，减少结余资金</w:t>
            </w:r>
            <w:r>
              <w:rPr>
                <w:rFonts w:hint="eastAsia" w:ascii="宋体" w:hAnsi="宋体" w:cs="宋体"/>
                <w:i w:val="0"/>
                <w:iCs w:val="0"/>
                <w:color w:val="000000"/>
                <w:kern w:val="0"/>
                <w:sz w:val="18"/>
                <w:szCs w:val="18"/>
                <w:u w:val="none"/>
                <w:lang w:val="en-US" w:eastAsia="zh-CN" w:bidi="ar"/>
              </w:rPr>
              <w:t>。</w:t>
            </w:r>
          </w:p>
        </w:tc>
        <w:tc>
          <w:tcPr>
            <w:tcW w:w="46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严格执行相关政策，保障</w:t>
            </w:r>
            <w:r>
              <w:rPr>
                <w:rFonts w:hint="eastAsia" w:ascii="宋体" w:hAnsi="宋体" w:cs="宋体"/>
                <w:i w:val="0"/>
                <w:iCs w:val="0"/>
                <w:color w:val="000000"/>
                <w:kern w:val="0"/>
                <w:sz w:val="18"/>
                <w:szCs w:val="18"/>
                <w:u w:val="none"/>
                <w:lang w:val="en-US" w:eastAsia="zh-CN" w:bidi="ar"/>
              </w:rPr>
              <w:t>退休人员目标绩效奖</w:t>
            </w:r>
            <w:r>
              <w:rPr>
                <w:rFonts w:ascii="宋体" w:hAnsi="宋体" w:eastAsia="宋体" w:cs="宋体"/>
                <w:i w:val="0"/>
                <w:iCs w:val="0"/>
                <w:color w:val="000000"/>
                <w:kern w:val="0"/>
                <w:sz w:val="18"/>
                <w:szCs w:val="18"/>
                <w:u w:val="none"/>
                <w:lang w:val="en-US" w:eastAsia="zh-CN" w:bidi="ar"/>
              </w:rPr>
              <w:t>及时发放、足额发放</w:t>
            </w:r>
            <w:r>
              <w:rPr>
                <w:rFonts w:hint="eastAsia" w:ascii="宋体" w:hAnsi="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4"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2.项目实施内容及过程概述</w:t>
            </w:r>
          </w:p>
        </w:tc>
        <w:tc>
          <w:tcPr>
            <w:tcW w:w="1137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lang w:eastAsia="zh-CN"/>
              </w:rPr>
            </w:pPr>
            <w:r>
              <w:rPr>
                <w:rFonts w:hint="eastAsia" w:ascii="宋体" w:hAnsi="宋体" w:cs="宋体"/>
                <w:i w:val="0"/>
                <w:iCs w:val="0"/>
                <w:color w:val="000000"/>
                <w:sz w:val="18"/>
                <w:szCs w:val="18"/>
                <w:u w:val="none"/>
                <w:lang w:eastAsia="zh-CN"/>
              </w:rPr>
              <w:t>按时、足额发放退休人员目标绩效奖。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预算执行情况（10分）</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年度预算数（万元）</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年初预算</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调整后预算数</w:t>
            </w: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预算执行数</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预算执行率</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原因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7"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总额</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1.40</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1.40</w:t>
            </w: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1.40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10</w:t>
            </w:r>
          </w:p>
        </w:tc>
        <w:tc>
          <w:tcPr>
            <w:tcW w:w="25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1.预算执行率=预算执行数/调整后预算数，预算执行率未达到90%的需说明原因（100字以内）;2.年中发生预算调整的（追加或调减）,应单独说明理由；3.其他资金包括：社会投入资金、银行贷款.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其中：财政资金</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1.40</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1.40</w:t>
            </w: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1.40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25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7"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财政专户管理资金</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25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单位资金</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25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其他资金</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25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绩效指标（90分）</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一级指标</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二级指标</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三级指标</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指标性质</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指标值</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度量单位</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完成值</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未完成原因分析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产出指标</w:t>
            </w:r>
          </w:p>
        </w:tc>
        <w:tc>
          <w:tcPr>
            <w:tcW w:w="17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数量指标</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足额保障率</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r>
              <w:rPr>
                <w:rFonts w:ascii="宋体" w:hAnsi="宋体" w:eastAsia="宋体" w:cs="宋体"/>
                <w:i w:val="0"/>
                <w:iCs w:val="0"/>
                <w:color w:val="000000"/>
                <w:kern w:val="0"/>
                <w:sz w:val="18"/>
                <w:szCs w:val="18"/>
                <w:u w:val="none"/>
                <w:lang w:val="en-US" w:eastAsia="zh-CN" w:bidi="ar"/>
              </w:rPr>
              <w:t>100.00%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22.5</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22.5</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科目调整次数</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次</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r>
              <w:rPr>
                <w:rFonts w:ascii="宋体" w:hAnsi="宋体" w:eastAsia="宋体" w:cs="宋体"/>
                <w:i w:val="0"/>
                <w:iCs w:val="0"/>
                <w:color w:val="000000"/>
                <w:kern w:val="0"/>
                <w:sz w:val="18"/>
                <w:szCs w:val="18"/>
                <w:u w:val="none"/>
                <w:lang w:val="en-US" w:eastAsia="zh-CN" w:bidi="ar"/>
              </w:rPr>
              <w:t>100.00%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22.5</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22.5</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时效指标</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按时发放率</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r>
              <w:rPr>
                <w:rFonts w:ascii="宋体" w:hAnsi="宋体" w:eastAsia="宋体" w:cs="宋体"/>
                <w:i w:val="0"/>
                <w:iCs w:val="0"/>
                <w:color w:val="000000"/>
                <w:kern w:val="0"/>
                <w:sz w:val="18"/>
                <w:szCs w:val="18"/>
                <w:u w:val="none"/>
                <w:lang w:val="en-US" w:eastAsia="zh-CN" w:bidi="ar"/>
              </w:rPr>
              <w:t>100.00%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22.5</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22.5</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效益指标</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经济效益指标</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结余率（计算方法为：结余数/预算数）</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r>
              <w:rPr>
                <w:rFonts w:ascii="宋体" w:hAnsi="宋体" w:eastAsia="宋体" w:cs="宋体"/>
                <w:i w:val="0"/>
                <w:iCs w:val="0"/>
                <w:color w:val="000000"/>
                <w:kern w:val="0"/>
                <w:sz w:val="18"/>
                <w:szCs w:val="18"/>
                <w:u w:val="none"/>
                <w:lang w:val="en-US" w:eastAsia="zh-CN" w:bidi="ar"/>
              </w:rPr>
              <w:t>100.00%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22.5</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22.5</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60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合计</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100</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评价结论</w:t>
            </w:r>
          </w:p>
        </w:tc>
        <w:tc>
          <w:tcPr>
            <w:tcW w:w="1342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该项目自评总分100分，该项目顺利实施，保障了退休职工的合法权益。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存在问题</w:t>
            </w:r>
          </w:p>
        </w:tc>
        <w:tc>
          <w:tcPr>
            <w:tcW w:w="1342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改进措施</w:t>
            </w:r>
          </w:p>
        </w:tc>
        <w:tc>
          <w:tcPr>
            <w:tcW w:w="1342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3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项目负责人：袁玲</w:t>
            </w:r>
          </w:p>
        </w:tc>
        <w:tc>
          <w:tcPr>
            <w:tcW w:w="681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财务负责人：陈榕</w:t>
            </w:r>
          </w:p>
        </w:tc>
      </w:tr>
    </w:tbl>
    <w:p>
      <w:pPr>
        <w:spacing w:line="600" w:lineRule="exact"/>
        <w:jc w:val="left"/>
        <w:outlineLvl w:val="9"/>
        <w:rPr>
          <w:rFonts w:hint="eastAsia" w:ascii="仿宋_GB2312" w:hAnsi="Calibri" w:eastAsia="仿宋_GB2312" w:cs="仿宋"/>
          <w:color w:val="auto"/>
          <w:kern w:val="0"/>
          <w:sz w:val="32"/>
          <w:szCs w:val="32"/>
          <w:highlight w:val="none"/>
          <w:lang w:val="en-US" w:eastAsia="zh-CN" w:bidi="ar-SA"/>
        </w:rPr>
      </w:pPr>
    </w:p>
    <w:p>
      <w:pPr>
        <w:pStyle w:val="2"/>
        <w:rPr>
          <w:rFonts w:hint="eastAsia" w:ascii="仿宋_GB2312" w:hAnsi="Calibri" w:eastAsia="仿宋_GB2312" w:cs="仿宋"/>
          <w:color w:val="auto"/>
          <w:kern w:val="0"/>
          <w:sz w:val="32"/>
          <w:szCs w:val="32"/>
          <w:highlight w:val="none"/>
          <w:lang w:val="en-US" w:eastAsia="zh-CN" w:bidi="ar-SA"/>
        </w:rPr>
      </w:pPr>
    </w:p>
    <w:tbl>
      <w:tblPr>
        <w:tblStyle w:val="14"/>
        <w:tblW w:w="1411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87"/>
        <w:gridCol w:w="2017"/>
        <w:gridCol w:w="1744"/>
        <w:gridCol w:w="2226"/>
        <w:gridCol w:w="522"/>
        <w:gridCol w:w="1650"/>
        <w:gridCol w:w="522"/>
        <w:gridCol w:w="1089"/>
        <w:gridCol w:w="576"/>
        <w:gridCol w:w="576"/>
        <w:gridCol w:w="25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4" w:hRule="atLeast"/>
        </w:trPr>
        <w:tc>
          <w:tcPr>
            <w:tcW w:w="14115"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黑体" w:hAnsi="宋体" w:eastAsia="黑体" w:cs="黑体"/>
                <w:b/>
                <w:bCs/>
                <w:i w:val="0"/>
                <w:iCs w:val="0"/>
                <w:color w:val="000000"/>
                <w:sz w:val="30"/>
                <w:szCs w:val="30"/>
                <w:u w:val="none"/>
              </w:rPr>
            </w:pPr>
            <w:r>
              <w:rPr>
                <w:rFonts w:hint="eastAsia" w:ascii="黑体" w:hAnsi="宋体" w:eastAsia="黑体" w:cs="黑体"/>
                <w:b/>
                <w:bCs/>
                <w:i w:val="0"/>
                <w:iCs w:val="0"/>
                <w:color w:val="000000"/>
                <w:kern w:val="0"/>
                <w:sz w:val="30"/>
                <w:szCs w:val="30"/>
                <w:u w:val="none"/>
                <w:lang w:val="en-US" w:eastAsia="zh-CN" w:bidi="ar"/>
              </w:rPr>
              <w:t>部门预算项目支出绩效自评表（2022年度）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7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项目名称</w:t>
            </w:r>
          </w:p>
        </w:tc>
        <w:tc>
          <w:tcPr>
            <w:tcW w:w="1137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51080022R000000267546-工资性支出（事业）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4" w:hRule="atLeast"/>
        </w:trPr>
        <w:tc>
          <w:tcPr>
            <w:tcW w:w="27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主管部门</w:t>
            </w:r>
          </w:p>
        </w:tc>
        <w:tc>
          <w:tcPr>
            <w:tcW w:w="67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广元市政务服务和公共资源交易中心部门</w:t>
            </w:r>
          </w:p>
        </w:tc>
        <w:tc>
          <w:tcPr>
            <w:tcW w:w="1095"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实施单位 （盖章）</w:t>
            </w:r>
          </w:p>
        </w:tc>
        <w:tc>
          <w:tcPr>
            <w:tcW w:w="35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广元市公共资源交易信息中心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项目基本情况</w:t>
            </w:r>
          </w:p>
        </w:tc>
        <w:tc>
          <w:tcPr>
            <w:tcW w:w="20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1.项目年度目标完成情况</w:t>
            </w:r>
          </w:p>
        </w:tc>
        <w:tc>
          <w:tcPr>
            <w:tcW w:w="67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项目年度目标</w:t>
            </w:r>
          </w:p>
        </w:tc>
        <w:tc>
          <w:tcPr>
            <w:tcW w:w="46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年度目标完成情况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9"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67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严格执行相关政策，保障工资及时发放、足额发放，预算编制科学合理，减少结余资金</w:t>
            </w:r>
            <w:r>
              <w:rPr>
                <w:rFonts w:hint="eastAsia" w:ascii="宋体" w:hAnsi="宋体" w:cs="宋体"/>
                <w:i w:val="0"/>
                <w:iCs w:val="0"/>
                <w:color w:val="000000"/>
                <w:kern w:val="0"/>
                <w:sz w:val="18"/>
                <w:szCs w:val="18"/>
                <w:u w:val="none"/>
                <w:lang w:val="en-US" w:eastAsia="zh-CN" w:bidi="ar"/>
              </w:rPr>
              <w:t>。</w:t>
            </w:r>
          </w:p>
        </w:tc>
        <w:tc>
          <w:tcPr>
            <w:tcW w:w="46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严格执行相关政策，保障</w:t>
            </w:r>
            <w:r>
              <w:rPr>
                <w:rFonts w:hint="eastAsia" w:ascii="宋体" w:hAnsi="宋体" w:cs="宋体"/>
                <w:i w:val="0"/>
                <w:iCs w:val="0"/>
                <w:color w:val="000000"/>
                <w:kern w:val="0"/>
                <w:sz w:val="18"/>
                <w:szCs w:val="18"/>
                <w:u w:val="none"/>
                <w:lang w:val="en-US" w:eastAsia="zh-CN" w:bidi="ar"/>
              </w:rPr>
              <w:t>职工</w:t>
            </w:r>
            <w:r>
              <w:rPr>
                <w:rFonts w:ascii="宋体" w:hAnsi="宋体" w:eastAsia="宋体" w:cs="宋体"/>
                <w:i w:val="0"/>
                <w:iCs w:val="0"/>
                <w:color w:val="000000"/>
                <w:kern w:val="0"/>
                <w:sz w:val="18"/>
                <w:szCs w:val="18"/>
                <w:u w:val="none"/>
                <w:lang w:val="en-US" w:eastAsia="zh-CN" w:bidi="ar"/>
              </w:rPr>
              <w:t>工资及时发放、足额发放</w:t>
            </w:r>
            <w:r>
              <w:rPr>
                <w:rFonts w:hint="eastAsia" w:ascii="宋体" w:hAnsi="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4"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2.项目实施内容及过程概述</w:t>
            </w:r>
          </w:p>
        </w:tc>
        <w:tc>
          <w:tcPr>
            <w:tcW w:w="1137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r>
              <w:rPr>
                <w:rFonts w:hint="eastAsia" w:ascii="宋体" w:hAnsi="宋体" w:cs="宋体"/>
                <w:i w:val="0"/>
                <w:iCs w:val="0"/>
                <w:color w:val="000000"/>
                <w:sz w:val="18"/>
                <w:szCs w:val="18"/>
                <w:u w:val="none"/>
                <w:lang w:eastAsia="zh-CN"/>
              </w:rPr>
              <w:t>按月及时、足额发放职工工资。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预算执行情况（10分）</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年度预算数（万元）</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年初预算</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调整后预算数</w:t>
            </w: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预算执行数</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预算执行率</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原因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7"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总额</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133.92</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133.92</w:t>
            </w: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133.92</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10</w:t>
            </w:r>
          </w:p>
        </w:tc>
        <w:tc>
          <w:tcPr>
            <w:tcW w:w="25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1.预算执行率=预算执行数/调整后预算数，预算执行率未达到90%的需说明原因（100字以内）;2.年中发生预算调整的（追加或调减）,应单独说明理由；3.其他资金包括：社会投入资金、银行贷款.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其中：财政资金</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133.92</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133.92</w:t>
            </w: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133.92</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25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7"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财政专户管理资金</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25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单位资金</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25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其他资金</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25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绩效指标（90分）</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一级指标</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二级指标</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三级指标</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指标性质</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指标值</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度量单位</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完成值</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未完成原因分析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产出指标</w:t>
            </w:r>
          </w:p>
        </w:tc>
        <w:tc>
          <w:tcPr>
            <w:tcW w:w="17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数量指标</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足额保障率</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微软雅黑" w:hAnsi="微软雅黑" w:eastAsia="微软雅黑" w:cs="微软雅黑"/>
                <w:i w:val="0"/>
                <w:iCs w:val="0"/>
                <w:color w:val="000000"/>
                <w:sz w:val="16"/>
                <w:szCs w:val="16"/>
                <w:u w:val="none"/>
                <w:lang w:val="en-US" w:eastAsia="zh-CN"/>
              </w:rPr>
            </w:pPr>
            <w:r>
              <w:rPr>
                <w:rFonts w:hint="eastAsia" w:ascii="微软雅黑" w:hAnsi="微软雅黑" w:eastAsia="微软雅黑" w:cs="微软雅黑"/>
                <w:i w:val="0"/>
                <w:iCs w:val="0"/>
                <w:color w:val="000000"/>
                <w:sz w:val="16"/>
                <w:szCs w:val="16"/>
                <w:u w:val="none"/>
                <w:lang w:val="en-US" w:eastAsia="zh-CN"/>
              </w:rPr>
              <w:t>100%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22.5</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22.5</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科目调整次数</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次</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sz w:val="16"/>
                <w:szCs w:val="16"/>
                <w:u w:val="none"/>
                <w:lang w:val="en-US" w:eastAsia="zh-CN"/>
              </w:rPr>
              <w:t>100%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22.5</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22.5</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时效指标</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按时发放率</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sz w:val="16"/>
                <w:szCs w:val="16"/>
                <w:u w:val="none"/>
                <w:lang w:val="en-US" w:eastAsia="zh-CN"/>
              </w:rPr>
              <w:t>100%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22.5</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22.5</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效益指标</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经济效益指标</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结余率（计算方法为：结余数/预算数）</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sz w:val="16"/>
                <w:szCs w:val="16"/>
                <w:u w:val="none"/>
                <w:lang w:val="en-US" w:eastAsia="zh-CN"/>
              </w:rPr>
              <w:t>100%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22.5</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22.5</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60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合计</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100</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评价结论</w:t>
            </w:r>
          </w:p>
        </w:tc>
        <w:tc>
          <w:tcPr>
            <w:tcW w:w="1342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该项目自评总分100分，该项目顺利实施，保障了职工的合法权益，调动了职工的工作积极性。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存在问题</w:t>
            </w:r>
          </w:p>
        </w:tc>
        <w:tc>
          <w:tcPr>
            <w:tcW w:w="1342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改进措施</w:t>
            </w:r>
          </w:p>
        </w:tc>
        <w:tc>
          <w:tcPr>
            <w:tcW w:w="1342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3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项目负责人：袁玲</w:t>
            </w:r>
          </w:p>
        </w:tc>
        <w:tc>
          <w:tcPr>
            <w:tcW w:w="681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黑体" w:hAnsi="黑体" w:eastAsia="黑体" w:cs="黑体"/>
                <w:i w:val="0"/>
                <w:iCs w:val="0"/>
                <w:color w:val="000000"/>
                <w:sz w:val="18"/>
                <w:szCs w:val="18"/>
                <w:u w:val="none"/>
                <w:lang w:val="en-US"/>
              </w:rPr>
            </w:pPr>
            <w:r>
              <w:rPr>
                <w:rFonts w:hint="eastAsia" w:ascii="黑体" w:hAnsi="黑体" w:eastAsia="黑体" w:cs="黑体"/>
                <w:i w:val="0"/>
                <w:iCs w:val="0"/>
                <w:color w:val="000000"/>
                <w:kern w:val="0"/>
                <w:sz w:val="18"/>
                <w:szCs w:val="18"/>
                <w:u w:val="none"/>
                <w:lang w:val="en-US" w:eastAsia="zh-CN" w:bidi="ar"/>
              </w:rPr>
              <w:t xml:space="preserve">财务负责人：陈榕 </w:t>
            </w:r>
          </w:p>
        </w:tc>
      </w:tr>
    </w:tbl>
    <w:p>
      <w:pPr>
        <w:rPr>
          <w:rFonts w:hint="eastAsia" w:ascii="仿宋_GB2312" w:hAnsi="Calibri" w:eastAsia="仿宋_GB2312" w:cs="仿宋"/>
          <w:color w:val="auto"/>
          <w:kern w:val="0"/>
          <w:sz w:val="32"/>
          <w:szCs w:val="32"/>
          <w:highlight w:val="none"/>
          <w:lang w:val="en-US" w:eastAsia="zh-CN" w:bidi="ar-SA"/>
        </w:rPr>
      </w:pPr>
    </w:p>
    <w:tbl>
      <w:tblPr>
        <w:tblStyle w:val="14"/>
        <w:tblW w:w="1411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89"/>
        <w:gridCol w:w="2048"/>
        <w:gridCol w:w="1765"/>
        <w:gridCol w:w="2257"/>
        <w:gridCol w:w="524"/>
        <w:gridCol w:w="1674"/>
        <w:gridCol w:w="524"/>
        <w:gridCol w:w="1094"/>
        <w:gridCol w:w="510"/>
        <w:gridCol w:w="487"/>
        <w:gridCol w:w="254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4" w:hRule="atLeast"/>
        </w:trPr>
        <w:tc>
          <w:tcPr>
            <w:tcW w:w="14115"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黑体" w:hAnsi="宋体" w:eastAsia="黑体" w:cs="黑体"/>
                <w:b/>
                <w:bCs/>
                <w:i w:val="0"/>
                <w:iCs w:val="0"/>
                <w:color w:val="000000"/>
                <w:sz w:val="30"/>
                <w:szCs w:val="30"/>
                <w:u w:val="none"/>
              </w:rPr>
            </w:pPr>
            <w:r>
              <w:rPr>
                <w:rFonts w:hint="eastAsia" w:ascii="黑体" w:hAnsi="宋体" w:eastAsia="黑体" w:cs="黑体"/>
                <w:b/>
                <w:bCs/>
                <w:i w:val="0"/>
                <w:iCs w:val="0"/>
                <w:color w:val="000000"/>
                <w:kern w:val="0"/>
                <w:sz w:val="30"/>
                <w:szCs w:val="30"/>
                <w:u w:val="none"/>
                <w:lang w:val="en-US" w:eastAsia="zh-CN" w:bidi="ar"/>
              </w:rPr>
              <w:t>部门预算项目支出绩效自评表（2022年度）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7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项目名称</w:t>
            </w:r>
          </w:p>
        </w:tc>
        <w:tc>
          <w:tcPr>
            <w:tcW w:w="1137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51080022T000005877141-目标绩效奖（交易中心）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4" w:hRule="atLeast"/>
        </w:trPr>
        <w:tc>
          <w:tcPr>
            <w:tcW w:w="27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主管部门</w:t>
            </w:r>
          </w:p>
        </w:tc>
        <w:tc>
          <w:tcPr>
            <w:tcW w:w="67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广元市政务服务和公共资源交易中心部门</w:t>
            </w:r>
          </w:p>
        </w:tc>
        <w:tc>
          <w:tcPr>
            <w:tcW w:w="1095"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实施单位 （盖章）</w:t>
            </w:r>
          </w:p>
        </w:tc>
        <w:tc>
          <w:tcPr>
            <w:tcW w:w="35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广元市公共资源交易信息中心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项目基本情况</w:t>
            </w:r>
          </w:p>
        </w:tc>
        <w:tc>
          <w:tcPr>
            <w:tcW w:w="20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1.项目年度目标完成情况</w:t>
            </w:r>
          </w:p>
        </w:tc>
        <w:tc>
          <w:tcPr>
            <w:tcW w:w="67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项目年度目标</w:t>
            </w:r>
          </w:p>
        </w:tc>
        <w:tc>
          <w:tcPr>
            <w:tcW w:w="46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年度目标完成情况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9"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67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严格执行相关政策，保障</w:t>
            </w:r>
            <w:r>
              <w:rPr>
                <w:rFonts w:hint="eastAsia" w:ascii="宋体" w:hAnsi="宋体" w:cs="宋体"/>
                <w:i w:val="0"/>
                <w:iCs w:val="0"/>
                <w:color w:val="000000"/>
                <w:kern w:val="0"/>
                <w:sz w:val="18"/>
                <w:szCs w:val="18"/>
                <w:u w:val="none"/>
                <w:lang w:val="en-US" w:eastAsia="zh-CN" w:bidi="ar"/>
              </w:rPr>
              <w:t>目标绩效奖</w:t>
            </w:r>
            <w:r>
              <w:rPr>
                <w:rFonts w:ascii="宋体" w:hAnsi="宋体" w:eastAsia="宋体" w:cs="宋体"/>
                <w:i w:val="0"/>
                <w:iCs w:val="0"/>
                <w:color w:val="000000"/>
                <w:kern w:val="0"/>
                <w:sz w:val="18"/>
                <w:szCs w:val="18"/>
                <w:u w:val="none"/>
                <w:lang w:val="en-US" w:eastAsia="zh-CN" w:bidi="ar"/>
              </w:rPr>
              <w:t>及时发放、足额发放，预算编制科学合理，减少结余资金</w:t>
            </w:r>
            <w:r>
              <w:rPr>
                <w:rFonts w:hint="eastAsia" w:ascii="宋体" w:hAnsi="宋体" w:cs="宋体"/>
                <w:i w:val="0"/>
                <w:iCs w:val="0"/>
                <w:color w:val="000000"/>
                <w:kern w:val="0"/>
                <w:sz w:val="18"/>
                <w:szCs w:val="18"/>
                <w:u w:val="none"/>
                <w:lang w:val="en-US" w:eastAsia="zh-CN" w:bidi="ar"/>
              </w:rPr>
              <w:t>。</w:t>
            </w:r>
          </w:p>
        </w:tc>
        <w:tc>
          <w:tcPr>
            <w:tcW w:w="46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i w:val="0"/>
                <w:iCs w:val="0"/>
                <w:color w:val="000000"/>
                <w:sz w:val="18"/>
                <w:szCs w:val="18"/>
                <w:u w:val="none"/>
              </w:rPr>
            </w:pPr>
            <w:r>
              <w:rPr>
                <w:rFonts w:hint="eastAsia" w:ascii="宋体" w:hAnsi="宋体" w:cs="宋体"/>
                <w:i w:val="0"/>
                <w:iCs w:val="0"/>
                <w:color w:val="000000"/>
                <w:kern w:val="0"/>
                <w:sz w:val="18"/>
                <w:szCs w:val="18"/>
                <w:u w:val="none"/>
                <w:lang w:val="en-US" w:eastAsia="zh-CN" w:bidi="ar"/>
              </w:rPr>
              <w:t>标绩效奖</w:t>
            </w:r>
            <w:r>
              <w:rPr>
                <w:rFonts w:ascii="宋体" w:hAnsi="宋体" w:eastAsia="宋体" w:cs="宋体"/>
                <w:i w:val="0"/>
                <w:iCs w:val="0"/>
                <w:color w:val="000000"/>
                <w:kern w:val="0"/>
                <w:sz w:val="18"/>
                <w:szCs w:val="18"/>
                <w:u w:val="none"/>
                <w:lang w:val="en-US" w:eastAsia="zh-CN" w:bidi="ar"/>
              </w:rPr>
              <w:t>及时发放、足额发放</w:t>
            </w:r>
            <w:r>
              <w:rPr>
                <w:rFonts w:hint="eastAsia" w:ascii="宋体" w:hAnsi="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4"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2.项目实施内容及过程概述</w:t>
            </w:r>
          </w:p>
        </w:tc>
        <w:tc>
          <w:tcPr>
            <w:tcW w:w="1137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及时发放、足额发放障</w:t>
            </w:r>
            <w:r>
              <w:rPr>
                <w:rFonts w:hint="eastAsia" w:ascii="宋体" w:hAnsi="宋体" w:cs="宋体"/>
                <w:i w:val="0"/>
                <w:iCs w:val="0"/>
                <w:color w:val="000000"/>
                <w:kern w:val="0"/>
                <w:sz w:val="18"/>
                <w:szCs w:val="18"/>
                <w:u w:val="none"/>
                <w:lang w:val="en-US" w:eastAsia="zh-CN" w:bidi="ar"/>
              </w:rPr>
              <w:t>目标绩效奖。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预算执行情况（10分）</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年度预算数（万元）</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年初预算</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调整后预算数</w:t>
            </w: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预算执行数</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预算执行率</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原因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7"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总额</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6.05</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6.05</w:t>
            </w: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6.05</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10</w:t>
            </w:r>
          </w:p>
        </w:tc>
        <w:tc>
          <w:tcPr>
            <w:tcW w:w="25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1.预算执行率=预算执行数/调整后预算数，预算执行率未达到90%的需说明原因（100字以内）;2.年中发生预算调整的（追加或调减）,应单独说明理由；3.其他资金包括：社会投入资金、银行贷款.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其中：财政资金</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6.05</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6.05</w:t>
            </w: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6.05</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25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7"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财政专户管理资金</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25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单位资金</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25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其他资金</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25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绩效指标（90分）</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一级指标</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二级指标</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三级指标</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指标性质</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指标值</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度量单位</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完成值</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未完成原因分析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60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合计</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100</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评价结论</w:t>
            </w:r>
          </w:p>
        </w:tc>
        <w:tc>
          <w:tcPr>
            <w:tcW w:w="1342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该项目自评总分100分，该项目顺利实施，保障了职工的合法权益，调动了职工的工作积极性。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存在问题</w:t>
            </w:r>
          </w:p>
        </w:tc>
        <w:tc>
          <w:tcPr>
            <w:tcW w:w="1342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改进措施</w:t>
            </w:r>
          </w:p>
        </w:tc>
        <w:tc>
          <w:tcPr>
            <w:tcW w:w="1342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3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i w:val="0"/>
                <w:iCs w:val="0"/>
              </w:rPr>
            </w:pPr>
            <w:r>
              <w:rPr>
                <w:rFonts w:hint="eastAsia" w:ascii="黑体" w:hAnsi="黑体" w:eastAsia="黑体" w:cs="黑体"/>
                <w:i w:val="0"/>
                <w:iCs w:val="0"/>
                <w:color w:val="000000"/>
                <w:kern w:val="0"/>
                <w:sz w:val="18"/>
                <w:szCs w:val="18"/>
                <w:u w:val="none"/>
                <w:lang w:val="en-US" w:eastAsia="zh-CN" w:bidi="ar"/>
              </w:rPr>
              <w:t>项目负责人：袁玲</w:t>
            </w:r>
          </w:p>
        </w:tc>
        <w:tc>
          <w:tcPr>
            <w:tcW w:w="681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财务负责人：陈榕</w:t>
            </w:r>
          </w:p>
        </w:tc>
      </w:tr>
    </w:tbl>
    <w:p>
      <w:pPr>
        <w:pStyle w:val="2"/>
        <w:rPr>
          <w:rFonts w:hint="eastAsia" w:ascii="仿宋_GB2312" w:hAnsi="Calibri" w:eastAsia="仿宋_GB2312" w:cs="仿宋"/>
          <w:color w:val="auto"/>
          <w:kern w:val="0"/>
          <w:sz w:val="32"/>
          <w:szCs w:val="32"/>
          <w:highlight w:val="none"/>
          <w:lang w:val="en-US" w:eastAsia="zh-CN" w:bidi="ar-SA"/>
        </w:rPr>
      </w:pPr>
    </w:p>
    <w:p>
      <w:pPr>
        <w:pStyle w:val="3"/>
        <w:rPr>
          <w:rFonts w:hint="eastAsia" w:ascii="仿宋_GB2312" w:hAnsi="Calibri" w:eastAsia="仿宋_GB2312" w:cs="仿宋"/>
          <w:color w:val="auto"/>
          <w:kern w:val="0"/>
          <w:sz w:val="32"/>
          <w:szCs w:val="32"/>
          <w:highlight w:val="none"/>
          <w:lang w:val="en-US" w:eastAsia="zh-CN" w:bidi="ar-SA"/>
        </w:rPr>
      </w:pPr>
    </w:p>
    <w:tbl>
      <w:tblPr>
        <w:tblStyle w:val="14"/>
        <w:tblW w:w="1411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0"/>
        <w:gridCol w:w="2055"/>
        <w:gridCol w:w="1770"/>
        <w:gridCol w:w="2265"/>
        <w:gridCol w:w="525"/>
        <w:gridCol w:w="1680"/>
        <w:gridCol w:w="525"/>
        <w:gridCol w:w="1095"/>
        <w:gridCol w:w="510"/>
        <w:gridCol w:w="450"/>
        <w:gridCol w:w="25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4" w:hRule="atLeast"/>
        </w:trPr>
        <w:tc>
          <w:tcPr>
            <w:tcW w:w="14115"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黑体" w:hAnsi="宋体" w:eastAsia="黑体" w:cs="黑体"/>
                <w:b/>
                <w:bCs/>
                <w:i w:val="0"/>
                <w:iCs w:val="0"/>
                <w:color w:val="000000"/>
                <w:sz w:val="30"/>
                <w:szCs w:val="30"/>
                <w:u w:val="none"/>
              </w:rPr>
            </w:pPr>
            <w:r>
              <w:rPr>
                <w:rFonts w:hint="eastAsia" w:ascii="黑体" w:hAnsi="宋体" w:eastAsia="黑体" w:cs="黑体"/>
                <w:b/>
                <w:bCs/>
                <w:i w:val="0"/>
                <w:iCs w:val="0"/>
                <w:color w:val="000000"/>
                <w:kern w:val="0"/>
                <w:sz w:val="30"/>
                <w:szCs w:val="30"/>
                <w:u w:val="none"/>
                <w:lang w:val="en-US" w:eastAsia="zh-CN" w:bidi="ar"/>
              </w:rPr>
              <w:t>部门预算项目支出绩效自评表（2022年度）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7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项目名称</w:t>
            </w:r>
          </w:p>
        </w:tc>
        <w:tc>
          <w:tcPr>
            <w:tcW w:w="1137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51080023R000007612345-规范后市级基础绩效奖及生活补助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4" w:hRule="atLeast"/>
        </w:trPr>
        <w:tc>
          <w:tcPr>
            <w:tcW w:w="27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主管部门</w:t>
            </w:r>
          </w:p>
        </w:tc>
        <w:tc>
          <w:tcPr>
            <w:tcW w:w="67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广元市政务服务和公共资源交易中心部门</w:t>
            </w:r>
          </w:p>
        </w:tc>
        <w:tc>
          <w:tcPr>
            <w:tcW w:w="1095"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实施单位 （盖章）</w:t>
            </w:r>
          </w:p>
        </w:tc>
        <w:tc>
          <w:tcPr>
            <w:tcW w:w="35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广元市公共资源交易信息中心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项目基本情况</w:t>
            </w:r>
          </w:p>
        </w:tc>
        <w:tc>
          <w:tcPr>
            <w:tcW w:w="20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1.项目年度目标完成情况</w:t>
            </w:r>
          </w:p>
        </w:tc>
        <w:tc>
          <w:tcPr>
            <w:tcW w:w="67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项目年度目标</w:t>
            </w:r>
          </w:p>
        </w:tc>
        <w:tc>
          <w:tcPr>
            <w:tcW w:w="46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年度目标完成情况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9"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67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严格执行相关政策，保障</w:t>
            </w:r>
            <w:r>
              <w:rPr>
                <w:rFonts w:hint="eastAsia" w:ascii="宋体" w:hAnsi="宋体" w:cs="宋体"/>
                <w:i w:val="0"/>
                <w:iCs w:val="0"/>
                <w:color w:val="000000"/>
                <w:kern w:val="0"/>
                <w:sz w:val="18"/>
                <w:szCs w:val="18"/>
                <w:u w:val="none"/>
                <w:lang w:val="en-US" w:eastAsia="zh-CN" w:bidi="ar"/>
              </w:rPr>
              <w:t>基础绩效奖及生活补助</w:t>
            </w:r>
            <w:r>
              <w:rPr>
                <w:rFonts w:ascii="宋体" w:hAnsi="宋体" w:eastAsia="宋体" w:cs="宋体"/>
                <w:i w:val="0"/>
                <w:iCs w:val="0"/>
                <w:color w:val="000000"/>
                <w:kern w:val="0"/>
                <w:sz w:val="18"/>
                <w:szCs w:val="18"/>
                <w:u w:val="none"/>
                <w:lang w:val="en-US" w:eastAsia="zh-CN" w:bidi="ar"/>
              </w:rPr>
              <w:t>及时发放、足额发放，预算编制科学合理，减少结余资金</w:t>
            </w:r>
            <w:r>
              <w:rPr>
                <w:rFonts w:hint="eastAsia" w:ascii="宋体" w:hAnsi="宋体" w:cs="宋体"/>
                <w:i w:val="0"/>
                <w:iCs w:val="0"/>
                <w:color w:val="000000"/>
                <w:kern w:val="0"/>
                <w:sz w:val="18"/>
                <w:szCs w:val="18"/>
                <w:u w:val="none"/>
                <w:lang w:val="en-US" w:eastAsia="zh-CN" w:bidi="ar"/>
              </w:rPr>
              <w:t>。</w:t>
            </w:r>
          </w:p>
        </w:tc>
        <w:tc>
          <w:tcPr>
            <w:tcW w:w="46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i w:val="0"/>
                <w:iCs w:val="0"/>
                <w:color w:val="000000"/>
                <w:sz w:val="18"/>
                <w:szCs w:val="18"/>
                <w:u w:val="none"/>
              </w:rPr>
            </w:pPr>
            <w:r>
              <w:rPr>
                <w:rFonts w:hint="eastAsia" w:ascii="宋体" w:hAnsi="宋体" w:cs="宋体"/>
                <w:i w:val="0"/>
                <w:iCs w:val="0"/>
                <w:color w:val="000000"/>
                <w:kern w:val="0"/>
                <w:sz w:val="18"/>
                <w:szCs w:val="18"/>
                <w:u w:val="none"/>
                <w:lang w:val="en-US" w:eastAsia="zh-CN" w:bidi="ar"/>
              </w:rPr>
              <w:t>基础绩效奖及生活补助</w:t>
            </w:r>
            <w:r>
              <w:rPr>
                <w:rFonts w:ascii="宋体" w:hAnsi="宋体" w:eastAsia="宋体" w:cs="宋体"/>
                <w:i w:val="0"/>
                <w:iCs w:val="0"/>
                <w:color w:val="000000"/>
                <w:kern w:val="0"/>
                <w:sz w:val="18"/>
                <w:szCs w:val="18"/>
                <w:u w:val="none"/>
                <w:lang w:val="en-US" w:eastAsia="zh-CN" w:bidi="ar"/>
              </w:rPr>
              <w:t>及时发放、足额发放</w:t>
            </w:r>
            <w:r>
              <w:rPr>
                <w:rFonts w:hint="eastAsia" w:ascii="宋体" w:hAnsi="宋体" w:cs="宋体"/>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4"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2.项目实施内容及过程概述</w:t>
            </w:r>
          </w:p>
        </w:tc>
        <w:tc>
          <w:tcPr>
            <w:tcW w:w="1137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及时发放、足额发放</w:t>
            </w:r>
            <w:r>
              <w:rPr>
                <w:rFonts w:hint="eastAsia" w:ascii="宋体" w:hAnsi="宋体" w:cs="宋体"/>
                <w:i w:val="0"/>
                <w:iCs w:val="0"/>
                <w:color w:val="000000"/>
                <w:kern w:val="0"/>
                <w:sz w:val="18"/>
                <w:szCs w:val="18"/>
                <w:u w:val="none"/>
                <w:lang w:val="en-US" w:eastAsia="zh-CN" w:bidi="ar"/>
              </w:rPr>
              <w:t>基础绩效奖及生活补助。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预算执行情况（10分）</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年度预算数（万元）</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年初预算</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调整后预算数</w:t>
            </w: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预算执行数</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预算执行率</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原因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7"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总额</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29.73</w:t>
            </w: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22.74</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76.50%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5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1.预算执行率=预算执行数/调整后预算数，预算执行率未达到90%的需说明原因（100字以内）;2.年中发生预算调整的（追加或调减）,应单独说明理由；3.其他资金包括：社会投入资金、银行贷款.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其中：财政资金</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29.73</w:t>
            </w: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22.74</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76.50%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25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7"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财政专户管理资金</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25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单位资金</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25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其他资金</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25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绩效指标（90分）</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一级指标</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二级指标</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三级指标</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指标性质</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指标值</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度量单位</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完成值</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未完成原因分析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60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合计</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评价结论</w:t>
            </w:r>
          </w:p>
        </w:tc>
        <w:tc>
          <w:tcPr>
            <w:tcW w:w="1342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该项目自评总分100分，该项目顺利实施，保障了职工的合法权益，调动了职工的工作积极性。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存在问题</w:t>
            </w:r>
          </w:p>
        </w:tc>
        <w:tc>
          <w:tcPr>
            <w:tcW w:w="1342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改进措施</w:t>
            </w:r>
          </w:p>
        </w:tc>
        <w:tc>
          <w:tcPr>
            <w:tcW w:w="1342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3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i w:val="0"/>
                <w:iCs w:val="0"/>
              </w:rPr>
            </w:pPr>
            <w:r>
              <w:rPr>
                <w:rFonts w:hint="eastAsia" w:ascii="黑体" w:hAnsi="黑体" w:eastAsia="黑体" w:cs="黑体"/>
                <w:i w:val="0"/>
                <w:iCs w:val="0"/>
                <w:color w:val="000000"/>
                <w:kern w:val="0"/>
                <w:sz w:val="18"/>
                <w:szCs w:val="18"/>
                <w:u w:val="none"/>
                <w:lang w:val="en-US" w:eastAsia="zh-CN" w:bidi="ar"/>
              </w:rPr>
              <w:t>项目负责人：袁玲</w:t>
            </w:r>
          </w:p>
        </w:tc>
        <w:tc>
          <w:tcPr>
            <w:tcW w:w="681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财务负责人：陈榕</w:t>
            </w:r>
          </w:p>
        </w:tc>
      </w:tr>
    </w:tbl>
    <w:p>
      <w:pPr>
        <w:pStyle w:val="2"/>
        <w:rPr>
          <w:rFonts w:hint="eastAsia"/>
          <w:lang w:val="en-US" w:eastAsia="zh-CN"/>
        </w:rPr>
      </w:pPr>
    </w:p>
    <w:p>
      <w:pPr>
        <w:pStyle w:val="3"/>
        <w:rPr>
          <w:rFonts w:hint="eastAsia"/>
          <w:lang w:val="en-US" w:eastAsia="zh-CN"/>
        </w:rPr>
      </w:pPr>
    </w:p>
    <w:p>
      <w:pPr>
        <w:rPr>
          <w:rFonts w:hint="eastAsia"/>
          <w:lang w:val="en-US" w:eastAsia="zh-CN"/>
        </w:rPr>
      </w:pPr>
    </w:p>
    <w:tbl>
      <w:tblPr>
        <w:tblStyle w:val="14"/>
        <w:tblW w:w="1411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86"/>
        <w:gridCol w:w="2016"/>
        <w:gridCol w:w="1741"/>
        <w:gridCol w:w="2237"/>
        <w:gridCol w:w="377"/>
        <w:gridCol w:w="145"/>
        <w:gridCol w:w="1648"/>
        <w:gridCol w:w="522"/>
        <w:gridCol w:w="1086"/>
        <w:gridCol w:w="576"/>
        <w:gridCol w:w="576"/>
        <w:gridCol w:w="25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4" w:hRule="atLeast"/>
        </w:trPr>
        <w:tc>
          <w:tcPr>
            <w:tcW w:w="14115"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黑体" w:hAnsi="宋体" w:eastAsia="黑体" w:cs="黑体"/>
                <w:b/>
                <w:bCs/>
                <w:i w:val="0"/>
                <w:iCs w:val="0"/>
                <w:color w:val="000000"/>
                <w:sz w:val="30"/>
                <w:szCs w:val="30"/>
                <w:u w:val="none"/>
              </w:rPr>
            </w:pPr>
            <w:r>
              <w:rPr>
                <w:rFonts w:hint="eastAsia" w:ascii="黑体" w:hAnsi="宋体" w:eastAsia="黑体" w:cs="黑体"/>
                <w:b/>
                <w:bCs/>
                <w:i w:val="0"/>
                <w:iCs w:val="0"/>
                <w:color w:val="000000"/>
                <w:kern w:val="0"/>
                <w:sz w:val="30"/>
                <w:szCs w:val="30"/>
                <w:u w:val="none"/>
                <w:lang w:val="en-US" w:eastAsia="zh-CN" w:bidi="ar"/>
              </w:rPr>
              <w:t>部门预算项目支出绩效自评表（2022年度）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项目名称</w:t>
            </w:r>
          </w:p>
        </w:tc>
        <w:tc>
          <w:tcPr>
            <w:tcW w:w="11413"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51080022Y000000267568-定额公用经费（事业）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4" w:hRule="atLeast"/>
        </w:trPr>
        <w:tc>
          <w:tcPr>
            <w:tcW w:w="2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主管部门</w:t>
            </w:r>
          </w:p>
        </w:tc>
        <w:tc>
          <w:tcPr>
            <w:tcW w:w="667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广元市政务服务和公共资源交易中心部门</w:t>
            </w:r>
          </w:p>
        </w:tc>
        <w:tc>
          <w:tcPr>
            <w:tcW w:w="1086"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实施单位 （盖章）</w:t>
            </w:r>
          </w:p>
        </w:tc>
        <w:tc>
          <w:tcPr>
            <w:tcW w:w="365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广元市公共资源交易信息中心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8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项目基本情况</w:t>
            </w:r>
          </w:p>
        </w:tc>
        <w:tc>
          <w:tcPr>
            <w:tcW w:w="20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1.项目年度目标完成情况</w:t>
            </w:r>
          </w:p>
        </w:tc>
        <w:tc>
          <w:tcPr>
            <w:tcW w:w="667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项目年度目标</w:t>
            </w:r>
          </w:p>
        </w:tc>
        <w:tc>
          <w:tcPr>
            <w:tcW w:w="474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年度目标完成情况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9" w:hRule="atLeast"/>
        </w:trPr>
        <w:tc>
          <w:tcPr>
            <w:tcW w:w="6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20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667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lang w:val="en-US" w:eastAsia="zh-CN"/>
              </w:rPr>
            </w:pPr>
            <w:r>
              <w:rPr>
                <w:rFonts w:ascii="宋体" w:hAnsi="宋体" w:eastAsia="宋体" w:cs="宋体"/>
                <w:i w:val="0"/>
                <w:iCs w:val="0"/>
                <w:color w:val="000000"/>
                <w:kern w:val="0"/>
                <w:sz w:val="18"/>
                <w:szCs w:val="18"/>
                <w:u w:val="none"/>
                <w:lang w:val="en-US" w:eastAsia="zh-CN" w:bidi="ar"/>
              </w:rPr>
              <w:t>保障单位日常运转，提高预算编制质量，严格执行预算</w:t>
            </w:r>
            <w:r>
              <w:rPr>
                <w:rFonts w:hint="eastAsia" w:ascii="宋体" w:hAnsi="宋体" w:cs="宋体"/>
                <w:i w:val="0"/>
                <w:iCs w:val="0"/>
                <w:color w:val="000000"/>
                <w:kern w:val="0"/>
                <w:sz w:val="18"/>
                <w:szCs w:val="18"/>
                <w:u w:val="none"/>
                <w:lang w:val="en-US" w:eastAsia="zh-CN" w:bidi="ar"/>
              </w:rPr>
              <w:t>。</w:t>
            </w:r>
          </w:p>
        </w:tc>
        <w:tc>
          <w:tcPr>
            <w:tcW w:w="474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i w:val="0"/>
                <w:iCs w:val="0"/>
                <w:color w:val="000000"/>
                <w:sz w:val="18"/>
                <w:szCs w:val="18"/>
                <w:u w:val="none"/>
                <w:lang w:eastAsia="zh-CN"/>
              </w:rPr>
            </w:pPr>
            <w:r>
              <w:rPr>
                <w:rFonts w:hint="eastAsia" w:ascii="黑体" w:hAnsi="黑体" w:eastAsia="黑体" w:cs="黑体"/>
                <w:i w:val="0"/>
                <w:iCs w:val="0"/>
                <w:color w:val="000000"/>
                <w:sz w:val="18"/>
                <w:szCs w:val="18"/>
                <w:u w:val="none"/>
                <w:lang w:eastAsia="zh-CN"/>
              </w:rPr>
              <w:t>合理编制预算，严格执行预算，保障了单位日常运转。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4" w:hRule="atLeast"/>
        </w:trPr>
        <w:tc>
          <w:tcPr>
            <w:tcW w:w="6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2.项目实施内容及过程概述</w:t>
            </w:r>
          </w:p>
        </w:tc>
        <w:tc>
          <w:tcPr>
            <w:tcW w:w="11413"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r>
              <w:rPr>
                <w:rFonts w:hint="eastAsia" w:ascii="黑体" w:hAnsi="黑体" w:eastAsia="黑体" w:cs="黑体"/>
                <w:i w:val="0"/>
                <w:iCs w:val="0"/>
                <w:color w:val="000000"/>
                <w:sz w:val="18"/>
                <w:szCs w:val="18"/>
                <w:u w:val="none"/>
                <w:lang w:eastAsia="zh-CN"/>
              </w:rPr>
              <w:t>合理编制预算，严格执行预算，保障了单位日常运转。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68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预算执行情况（10分）</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年度预算数（万元）</w:t>
            </w:r>
          </w:p>
        </w:tc>
        <w:tc>
          <w:tcPr>
            <w:tcW w:w="1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年初预算</w:t>
            </w:r>
          </w:p>
        </w:tc>
        <w:tc>
          <w:tcPr>
            <w:tcW w:w="2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调整后预算数</w:t>
            </w:r>
          </w:p>
        </w:tc>
        <w:tc>
          <w:tcPr>
            <w:tcW w:w="269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预算执行数</w:t>
            </w: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预算执行率</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原因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7" w:hRule="atLeast"/>
        </w:trPr>
        <w:tc>
          <w:tcPr>
            <w:tcW w:w="6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总额</w:t>
            </w:r>
          </w:p>
        </w:tc>
        <w:tc>
          <w:tcPr>
            <w:tcW w:w="1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31.50</w:t>
            </w:r>
          </w:p>
        </w:tc>
        <w:tc>
          <w:tcPr>
            <w:tcW w:w="2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30.67</w:t>
            </w:r>
          </w:p>
        </w:tc>
        <w:tc>
          <w:tcPr>
            <w:tcW w:w="269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30.37</w:t>
            </w: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99.02%</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9.9</w:t>
            </w:r>
          </w:p>
        </w:tc>
        <w:tc>
          <w:tcPr>
            <w:tcW w:w="25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1.预算执行率=预算执行数/调整后预算数，预算执行率未达到90%的需说明原因（100字以内）;2.年中发生预算调整的（追加或调减）,应单独说明理由；3.其他资金包括：社会投入资金、银行贷款.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6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其中：财政资金</w:t>
            </w:r>
          </w:p>
        </w:tc>
        <w:tc>
          <w:tcPr>
            <w:tcW w:w="1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31.50</w:t>
            </w:r>
          </w:p>
        </w:tc>
        <w:tc>
          <w:tcPr>
            <w:tcW w:w="2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30.67</w:t>
            </w:r>
          </w:p>
        </w:tc>
        <w:tc>
          <w:tcPr>
            <w:tcW w:w="269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30.37</w:t>
            </w: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99.02%</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25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7" w:hRule="atLeast"/>
        </w:trPr>
        <w:tc>
          <w:tcPr>
            <w:tcW w:w="6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财政专户管理资金</w:t>
            </w:r>
          </w:p>
        </w:tc>
        <w:tc>
          <w:tcPr>
            <w:tcW w:w="1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69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25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单位资金</w:t>
            </w:r>
          </w:p>
        </w:tc>
        <w:tc>
          <w:tcPr>
            <w:tcW w:w="1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69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25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6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其他资金</w:t>
            </w:r>
          </w:p>
        </w:tc>
        <w:tc>
          <w:tcPr>
            <w:tcW w:w="17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22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269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25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8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绩效指标（90分）</w:t>
            </w:r>
          </w:p>
        </w:tc>
        <w:tc>
          <w:tcPr>
            <w:tcW w:w="20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一级指标</w:t>
            </w:r>
          </w:p>
        </w:tc>
        <w:tc>
          <w:tcPr>
            <w:tcW w:w="1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二级指标</w:t>
            </w:r>
          </w:p>
        </w:tc>
        <w:tc>
          <w:tcPr>
            <w:tcW w:w="2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三级指标</w:t>
            </w:r>
          </w:p>
        </w:tc>
        <w:tc>
          <w:tcPr>
            <w:tcW w:w="5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指标性质</w:t>
            </w:r>
          </w:p>
        </w:tc>
        <w:tc>
          <w:tcPr>
            <w:tcW w:w="16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指标值</w:t>
            </w: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度量单位</w:t>
            </w: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完成值</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未完成原因分析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6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产出指标</w:t>
            </w:r>
          </w:p>
        </w:tc>
        <w:tc>
          <w:tcPr>
            <w:tcW w:w="1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数量指标</w:t>
            </w:r>
          </w:p>
        </w:tc>
        <w:tc>
          <w:tcPr>
            <w:tcW w:w="2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科目调整次数</w:t>
            </w:r>
          </w:p>
        </w:tc>
        <w:tc>
          <w:tcPr>
            <w:tcW w:w="5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次</w:t>
            </w: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微软雅黑" w:hAnsi="微软雅黑" w:eastAsia="微软雅黑" w:cs="微软雅黑"/>
                <w:i w:val="0"/>
                <w:iCs w:val="0"/>
                <w:color w:val="000000"/>
                <w:sz w:val="16"/>
                <w:szCs w:val="16"/>
                <w:u w:val="none"/>
                <w:lang w:val="en-US" w:eastAsia="zh-CN"/>
              </w:rPr>
            </w:pPr>
            <w:r>
              <w:rPr>
                <w:rFonts w:hint="eastAsia" w:ascii="微软雅黑" w:hAnsi="微软雅黑" w:eastAsia="微软雅黑" w:cs="微软雅黑"/>
                <w:i w:val="0"/>
                <w:iCs w:val="0"/>
                <w:color w:val="000000"/>
                <w:sz w:val="16"/>
                <w:szCs w:val="16"/>
                <w:u w:val="none"/>
                <w:lang w:val="en-US" w:eastAsia="zh-CN"/>
              </w:rPr>
              <w:t>100%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22.5</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9" w:hRule="atLeast"/>
        </w:trPr>
        <w:tc>
          <w:tcPr>
            <w:tcW w:w="6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质量指标</w:t>
            </w:r>
          </w:p>
        </w:tc>
        <w:tc>
          <w:tcPr>
            <w:tcW w:w="2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预算编制准确率（计算方法为：∣（执行数-预算数）/预算数∣）</w:t>
            </w:r>
          </w:p>
        </w:tc>
        <w:tc>
          <w:tcPr>
            <w:tcW w:w="5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w:t>
            </w: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sz w:val="16"/>
                <w:szCs w:val="16"/>
                <w:u w:val="none"/>
                <w:lang w:val="en-US" w:eastAsia="zh-CN"/>
              </w:rPr>
              <w:t>100%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22.5</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6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效益指标</w:t>
            </w:r>
          </w:p>
        </w:tc>
        <w:tc>
          <w:tcPr>
            <w:tcW w:w="174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经济效益指标</w:t>
            </w:r>
          </w:p>
        </w:tc>
        <w:tc>
          <w:tcPr>
            <w:tcW w:w="2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运转保障率</w:t>
            </w:r>
          </w:p>
        </w:tc>
        <w:tc>
          <w:tcPr>
            <w:tcW w:w="5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sz w:val="16"/>
                <w:szCs w:val="16"/>
                <w:u w:val="none"/>
                <w:lang w:val="en-US" w:eastAsia="zh-CN"/>
              </w:rPr>
              <w:t>100%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22.5</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4" w:hRule="atLeast"/>
        </w:trPr>
        <w:tc>
          <w:tcPr>
            <w:tcW w:w="6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2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“三公经费”控制率[计算方法为：（三公经费实际支出数/预算安排数]×100%）</w:t>
            </w:r>
          </w:p>
        </w:tc>
        <w:tc>
          <w:tcPr>
            <w:tcW w:w="5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sz w:val="16"/>
                <w:szCs w:val="16"/>
                <w:u w:val="none"/>
                <w:lang w:val="en-US" w:eastAsia="zh-CN"/>
              </w:rPr>
              <w:t>100%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22.5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22.5</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458"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合计</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99.9</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评价结论</w:t>
            </w:r>
          </w:p>
        </w:tc>
        <w:tc>
          <w:tcPr>
            <w:tcW w:w="13429"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该项目自评总分99.9分，该项目顺利实施，保障了单位的日常运转。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存在问题</w:t>
            </w:r>
          </w:p>
        </w:tc>
        <w:tc>
          <w:tcPr>
            <w:tcW w:w="13429"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改进措施</w:t>
            </w:r>
          </w:p>
        </w:tc>
        <w:tc>
          <w:tcPr>
            <w:tcW w:w="13429"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i w:val="0"/>
                <w:iCs w:val="0"/>
                <w:color w:val="000000"/>
                <w:sz w:val="18"/>
                <w:szCs w:val="18"/>
                <w:u w:val="none"/>
                <w:lang w:eastAsia="zh-CN"/>
              </w:rPr>
            </w:pPr>
            <w:r>
              <w:rPr>
                <w:rFonts w:hint="eastAsia" w:ascii="黑体" w:hAnsi="黑体" w:eastAsia="黑体" w:cs="黑体"/>
                <w:i w:val="0"/>
                <w:iCs w:val="0"/>
                <w:color w:val="000000"/>
                <w:sz w:val="18"/>
                <w:szCs w:val="18"/>
                <w:u w:val="none"/>
                <w:lang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项目负责人：袁玲</w:t>
            </w:r>
          </w:p>
        </w:tc>
        <w:tc>
          <w:tcPr>
            <w:tcW w:w="705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i w:val="0"/>
                <w:iCs w:val="0"/>
                <w:color w:val="000000"/>
                <w:kern w:val="0"/>
                <w:sz w:val="18"/>
                <w:szCs w:val="18"/>
                <w:u w:val="none"/>
                <w:lang w:val="en-US" w:eastAsia="zh-CN" w:bidi="ar"/>
              </w:rPr>
            </w:pPr>
            <w:r>
              <w:rPr>
                <w:rFonts w:hint="eastAsia" w:ascii="黑体" w:hAnsi="黑体" w:eastAsia="黑体" w:cs="黑体"/>
                <w:i w:val="0"/>
                <w:iCs w:val="0"/>
                <w:color w:val="000000"/>
                <w:kern w:val="0"/>
                <w:sz w:val="18"/>
                <w:szCs w:val="18"/>
                <w:u w:val="none"/>
                <w:lang w:val="en-US" w:eastAsia="zh-CN" w:bidi="ar"/>
              </w:rPr>
              <w:t>财务负责人：陈榕</w:t>
            </w:r>
          </w:p>
        </w:tc>
      </w:tr>
    </w:tbl>
    <w:p>
      <w:pPr>
        <w:pStyle w:val="2"/>
        <w:rPr>
          <w:rFonts w:hint="eastAsia"/>
          <w:lang w:val="en-US" w:eastAsia="zh-CN"/>
        </w:rPr>
      </w:pPr>
    </w:p>
    <w:p>
      <w:pPr>
        <w:pStyle w:val="3"/>
        <w:rPr>
          <w:rFonts w:hint="eastAsia"/>
          <w:lang w:val="en-US" w:eastAsia="zh-CN"/>
        </w:rPr>
      </w:pPr>
    </w:p>
    <w:p>
      <w:pPr>
        <w:rPr>
          <w:rFonts w:hint="eastAsia"/>
          <w:lang w:val="en-US" w:eastAsia="zh-CN"/>
        </w:rPr>
      </w:pPr>
    </w:p>
    <w:tbl>
      <w:tblPr>
        <w:tblStyle w:val="14"/>
        <w:tblW w:w="1411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87"/>
        <w:gridCol w:w="2016"/>
        <w:gridCol w:w="1738"/>
        <w:gridCol w:w="2237"/>
        <w:gridCol w:w="522"/>
        <w:gridCol w:w="1648"/>
        <w:gridCol w:w="522"/>
        <w:gridCol w:w="1088"/>
        <w:gridCol w:w="576"/>
        <w:gridCol w:w="576"/>
        <w:gridCol w:w="25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4" w:hRule="atLeast"/>
        </w:trPr>
        <w:tc>
          <w:tcPr>
            <w:tcW w:w="14115"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黑体" w:hAnsi="宋体" w:eastAsia="黑体" w:cs="黑体"/>
                <w:b/>
                <w:bCs/>
                <w:i w:val="0"/>
                <w:iCs w:val="0"/>
                <w:color w:val="000000"/>
                <w:sz w:val="30"/>
                <w:szCs w:val="30"/>
                <w:u w:val="none"/>
              </w:rPr>
            </w:pPr>
            <w:r>
              <w:rPr>
                <w:rFonts w:hint="eastAsia" w:ascii="黑体" w:hAnsi="宋体" w:eastAsia="黑体" w:cs="黑体"/>
                <w:b/>
                <w:bCs/>
                <w:i w:val="0"/>
                <w:iCs w:val="0"/>
                <w:color w:val="000000"/>
                <w:kern w:val="0"/>
                <w:sz w:val="30"/>
                <w:szCs w:val="30"/>
                <w:u w:val="none"/>
                <w:lang w:val="en-US" w:eastAsia="zh-CN" w:bidi="ar"/>
              </w:rPr>
              <w:t>部门预算项目支出绩效自评表（2022年度）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7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项目名称</w:t>
            </w:r>
          </w:p>
        </w:tc>
        <w:tc>
          <w:tcPr>
            <w:tcW w:w="1137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51080021Y000000176770-其他公用经费（福利、工会、公车补贴、党建、退休活动）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4" w:hRule="atLeast"/>
        </w:trPr>
        <w:tc>
          <w:tcPr>
            <w:tcW w:w="27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主管部门</w:t>
            </w:r>
          </w:p>
        </w:tc>
        <w:tc>
          <w:tcPr>
            <w:tcW w:w="67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广元市政务服务和公共资源交易中心部门</w:t>
            </w:r>
          </w:p>
        </w:tc>
        <w:tc>
          <w:tcPr>
            <w:tcW w:w="1095"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实施单位 （盖章）</w:t>
            </w:r>
          </w:p>
        </w:tc>
        <w:tc>
          <w:tcPr>
            <w:tcW w:w="35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广元市公共资源交易信息中心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项目基本情况</w:t>
            </w:r>
          </w:p>
        </w:tc>
        <w:tc>
          <w:tcPr>
            <w:tcW w:w="20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1.项目年度目标完成情况</w:t>
            </w:r>
          </w:p>
        </w:tc>
        <w:tc>
          <w:tcPr>
            <w:tcW w:w="67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项目年度目标</w:t>
            </w:r>
          </w:p>
        </w:tc>
        <w:tc>
          <w:tcPr>
            <w:tcW w:w="46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年度目标完成情况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9"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67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保障单位日常运转，提高预算编制质量，严格执行预算</w:t>
            </w:r>
            <w:r>
              <w:rPr>
                <w:rFonts w:hint="eastAsia" w:ascii="宋体" w:hAnsi="宋体" w:cs="宋体"/>
                <w:i w:val="0"/>
                <w:iCs w:val="0"/>
                <w:color w:val="000000"/>
                <w:kern w:val="0"/>
                <w:sz w:val="18"/>
                <w:szCs w:val="18"/>
                <w:u w:val="none"/>
                <w:lang w:val="en-US" w:eastAsia="zh-CN" w:bidi="ar"/>
              </w:rPr>
              <w:t>。</w:t>
            </w:r>
          </w:p>
        </w:tc>
        <w:tc>
          <w:tcPr>
            <w:tcW w:w="46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sz w:val="18"/>
                <w:szCs w:val="18"/>
                <w:u w:val="none"/>
                <w:lang w:eastAsia="zh-CN"/>
              </w:rPr>
              <w:t>合理编制预算，严格执行预算，保障了单位日常运转。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4"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2.项目实施内容及过程概述</w:t>
            </w:r>
          </w:p>
        </w:tc>
        <w:tc>
          <w:tcPr>
            <w:tcW w:w="1137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r>
              <w:rPr>
                <w:rFonts w:hint="eastAsia" w:ascii="黑体" w:hAnsi="黑体" w:eastAsia="黑体" w:cs="黑体"/>
                <w:i w:val="0"/>
                <w:iCs w:val="0"/>
                <w:color w:val="000000"/>
                <w:sz w:val="18"/>
                <w:szCs w:val="18"/>
                <w:u w:val="none"/>
                <w:lang w:eastAsia="zh-CN"/>
              </w:rPr>
              <w:t>合理编制预算，严格执行预算，保障了单位日常运转。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预算执行情况（10分）</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年度预算数（万元）</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年初预算</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调整后预算数</w:t>
            </w: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预算执行数</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预算执行率</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原因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7"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总额</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6.70</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6.70</w:t>
            </w: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6.70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10</w:t>
            </w:r>
          </w:p>
        </w:tc>
        <w:tc>
          <w:tcPr>
            <w:tcW w:w="25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1.预算执行率=预算执行数/调整后预算数，预算执行率未达到90%的需说明原因（100字以内）;2.年中发生预算调整的（追加或调减）,应单独说明理由；3.其他资金包括：社会投入资金、银行贷款.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其中：财政资金</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6.70</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6.70</w:t>
            </w: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6.70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25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7"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财政专户管理资金</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25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单位资金</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25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其他资金</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25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绩效指标（90分）</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一级指标</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二级指标</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三级指标</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指标性质</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指标值</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度量单位</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完成值</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未完成原因分析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产出指标</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数量指标</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科目调整次数</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次</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微软雅黑" w:hAnsi="微软雅黑" w:eastAsia="微软雅黑" w:cs="微软雅黑"/>
                <w:i w:val="0"/>
                <w:iCs w:val="0"/>
                <w:color w:val="000000"/>
                <w:sz w:val="16"/>
                <w:szCs w:val="16"/>
                <w:u w:val="none"/>
                <w:lang w:val="en-US" w:eastAsia="zh-CN"/>
              </w:rPr>
            </w:pPr>
            <w:r>
              <w:rPr>
                <w:rFonts w:hint="eastAsia" w:ascii="微软雅黑" w:hAnsi="微软雅黑" w:eastAsia="微软雅黑" w:cs="微软雅黑"/>
                <w:i w:val="0"/>
                <w:iCs w:val="0"/>
                <w:color w:val="000000"/>
                <w:sz w:val="16"/>
                <w:szCs w:val="16"/>
                <w:u w:val="none"/>
                <w:lang w:val="en-US" w:eastAsia="zh-CN"/>
              </w:rPr>
              <w:t>100%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22.5</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22.5</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9"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质量指标</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预算编制准确率（计算方法为：∣（执行数-预算数）/预算数∣）</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sz w:val="16"/>
                <w:szCs w:val="16"/>
                <w:u w:val="none"/>
                <w:lang w:val="en-US" w:eastAsia="zh-CN"/>
              </w:rPr>
              <w:t>100%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22.5</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22.5</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4"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效益指标</w:t>
            </w:r>
          </w:p>
        </w:tc>
        <w:tc>
          <w:tcPr>
            <w:tcW w:w="17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经济效益指标</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“三公经费”控制率[计算方法为：（三公经费实际支出数/预算安排数]×100%）</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22.5</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22.5</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运转保障率</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sz w:val="16"/>
                <w:szCs w:val="16"/>
                <w:u w:val="none"/>
                <w:lang w:val="en-US" w:eastAsia="zh-CN"/>
              </w:rPr>
              <w:t>100%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22.5</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22.5</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60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合计</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100</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评价结论</w:t>
            </w:r>
          </w:p>
        </w:tc>
        <w:tc>
          <w:tcPr>
            <w:tcW w:w="1342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该项目自评总分100分，该项目顺利实施，保障了单位的日常运转。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存在问题</w:t>
            </w:r>
          </w:p>
        </w:tc>
        <w:tc>
          <w:tcPr>
            <w:tcW w:w="1342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改进措施</w:t>
            </w:r>
          </w:p>
        </w:tc>
        <w:tc>
          <w:tcPr>
            <w:tcW w:w="1342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3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项目负责人：袁玲</w:t>
            </w:r>
          </w:p>
        </w:tc>
        <w:tc>
          <w:tcPr>
            <w:tcW w:w="681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财务负责人：侯海霞</w:t>
            </w:r>
          </w:p>
        </w:tc>
      </w:tr>
    </w:tbl>
    <w:p>
      <w:pPr>
        <w:pStyle w:val="2"/>
        <w:rPr>
          <w:rFonts w:hint="eastAsia"/>
          <w:lang w:val="en-US" w:eastAsia="zh-CN"/>
        </w:rPr>
      </w:pPr>
    </w:p>
    <w:p>
      <w:pPr>
        <w:pStyle w:val="3"/>
        <w:ind w:left="0" w:leftChars="0" w:firstLine="0" w:firstLineChars="0"/>
        <w:rPr>
          <w:rFonts w:hint="eastAsia"/>
          <w:lang w:val="en-US" w:eastAsia="zh-CN"/>
        </w:rPr>
      </w:pPr>
    </w:p>
    <w:p>
      <w:pPr>
        <w:rPr>
          <w:rFonts w:hint="eastAsia"/>
          <w:lang w:val="en-US" w:eastAsia="zh-CN"/>
        </w:rPr>
      </w:pPr>
    </w:p>
    <w:tbl>
      <w:tblPr>
        <w:tblStyle w:val="14"/>
        <w:tblW w:w="1411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0"/>
        <w:gridCol w:w="2055"/>
        <w:gridCol w:w="1770"/>
        <w:gridCol w:w="2265"/>
        <w:gridCol w:w="525"/>
        <w:gridCol w:w="1680"/>
        <w:gridCol w:w="525"/>
        <w:gridCol w:w="1095"/>
        <w:gridCol w:w="510"/>
        <w:gridCol w:w="450"/>
        <w:gridCol w:w="25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4" w:hRule="atLeast"/>
        </w:trPr>
        <w:tc>
          <w:tcPr>
            <w:tcW w:w="14115"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黑体" w:hAnsi="宋体" w:eastAsia="黑体" w:cs="黑体"/>
                <w:b/>
                <w:bCs/>
                <w:i w:val="0"/>
                <w:iCs w:val="0"/>
                <w:color w:val="000000"/>
                <w:sz w:val="30"/>
                <w:szCs w:val="30"/>
                <w:u w:val="none"/>
              </w:rPr>
            </w:pPr>
            <w:r>
              <w:rPr>
                <w:rFonts w:hint="eastAsia" w:ascii="黑体" w:hAnsi="宋体" w:eastAsia="黑体" w:cs="黑体"/>
                <w:b/>
                <w:bCs/>
                <w:i w:val="0"/>
                <w:iCs w:val="0"/>
                <w:color w:val="000000"/>
                <w:kern w:val="0"/>
                <w:sz w:val="30"/>
                <w:szCs w:val="30"/>
                <w:u w:val="none"/>
                <w:lang w:val="en-US" w:eastAsia="zh-CN" w:bidi="ar"/>
              </w:rPr>
              <w:t>部门预算项目支出绩效自评表（2022年度）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7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项目名称</w:t>
            </w:r>
          </w:p>
        </w:tc>
        <w:tc>
          <w:tcPr>
            <w:tcW w:w="1137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51080021T000000052241-政府采购专家评审费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4" w:hRule="atLeast"/>
        </w:trPr>
        <w:tc>
          <w:tcPr>
            <w:tcW w:w="27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主管部门</w:t>
            </w:r>
          </w:p>
        </w:tc>
        <w:tc>
          <w:tcPr>
            <w:tcW w:w="67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广元市政务服务和公共资源交易中心部门</w:t>
            </w:r>
          </w:p>
        </w:tc>
        <w:tc>
          <w:tcPr>
            <w:tcW w:w="1095"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实施单位 （盖章）</w:t>
            </w:r>
          </w:p>
        </w:tc>
        <w:tc>
          <w:tcPr>
            <w:tcW w:w="35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广元市公共资源交易信息中心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项目基本情况</w:t>
            </w:r>
          </w:p>
        </w:tc>
        <w:tc>
          <w:tcPr>
            <w:tcW w:w="20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1.项目年度目标完成情况</w:t>
            </w:r>
          </w:p>
        </w:tc>
        <w:tc>
          <w:tcPr>
            <w:tcW w:w="67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项目年度目标</w:t>
            </w:r>
          </w:p>
        </w:tc>
        <w:tc>
          <w:tcPr>
            <w:tcW w:w="46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年度目标完成情况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9"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67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kern w:val="0"/>
                <w:sz w:val="18"/>
                <w:szCs w:val="18"/>
                <w:u w:val="none"/>
                <w:lang w:val="en-US" w:eastAsia="zh-CN" w:bidi="ar"/>
              </w:rPr>
            </w:pPr>
            <w:r>
              <w:rPr>
                <w:rFonts w:ascii="宋体" w:hAnsi="宋体" w:eastAsia="宋体" w:cs="宋体"/>
                <w:i w:val="0"/>
                <w:iCs w:val="0"/>
                <w:color w:val="000000"/>
                <w:kern w:val="0"/>
                <w:sz w:val="18"/>
                <w:szCs w:val="18"/>
                <w:u w:val="none"/>
                <w:lang w:val="en-US" w:eastAsia="zh-CN" w:bidi="ar"/>
              </w:rPr>
              <w:t>全年预计完成市级各部门委托的政府采购项目评审100余个，依法依规按时支付专家评审费及相关餐费。</w:t>
            </w:r>
          </w:p>
        </w:tc>
        <w:tc>
          <w:tcPr>
            <w:tcW w:w="46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完成市级各部门委托的政府采购项目评审100余个，依法依规按时支付专家评审费及相关餐费，全市政府集中采购活动有序进行。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4"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2.项目实施内容及过程概述</w:t>
            </w:r>
          </w:p>
        </w:tc>
        <w:tc>
          <w:tcPr>
            <w:tcW w:w="1137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18"/>
                <w:szCs w:val="18"/>
                <w:u w:val="none"/>
              </w:rPr>
              <w:t>通过及时支付评审专家的劳务费及用餐费，保障政府采购活动有序进行。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预算执行情况（10分）</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年度预算数（万元）</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年初预算</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调整后预算数</w:t>
            </w: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预算执行数</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预算执行率</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原因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7"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总额</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30.00</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30.00</w:t>
            </w: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10</w:t>
            </w:r>
          </w:p>
        </w:tc>
        <w:tc>
          <w:tcPr>
            <w:tcW w:w="25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1.预算执行率=预算执行数/调整后预算数，预算执行率未达到90%的需说明原因（100字以内）;2.年中发生预算调整的（追加或调减）,应单独说明理由；3.其他资金包括：社会投入资金、银行贷款.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其中：财政资金</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30.00</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30.00</w:t>
            </w: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25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7"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财政专户管理资金</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25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单位资金</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25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其他资金</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25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绩效指标（90分）</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一级指标</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二级指标</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三级指标</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指标性质</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指标值</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度量单位</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完成值</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未完成原因分析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产出指标</w:t>
            </w:r>
          </w:p>
        </w:tc>
        <w:tc>
          <w:tcPr>
            <w:tcW w:w="17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数量指标</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评审现场用餐人次</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500</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人</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微软雅黑" w:hAnsi="微软雅黑" w:eastAsia="微软雅黑" w:cs="微软雅黑"/>
                <w:i w:val="0"/>
                <w:iCs w:val="0"/>
                <w:color w:val="000000"/>
                <w:sz w:val="16"/>
                <w:szCs w:val="16"/>
                <w:u w:val="none"/>
                <w:lang w:val="en-US" w:eastAsia="zh-CN"/>
              </w:rPr>
            </w:pPr>
            <w:r>
              <w:rPr>
                <w:rFonts w:hint="eastAsia" w:ascii="微软雅黑" w:hAnsi="微软雅黑" w:eastAsia="微软雅黑" w:cs="微软雅黑"/>
                <w:i w:val="0"/>
                <w:iCs w:val="0"/>
                <w:color w:val="000000"/>
                <w:sz w:val="16"/>
                <w:szCs w:val="16"/>
                <w:u w:val="none"/>
                <w:lang w:val="en-US" w:eastAsia="zh-CN"/>
              </w:rPr>
              <w:t>100%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5</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评审项目个数</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个</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kern w:val="2"/>
                <w:sz w:val="16"/>
                <w:szCs w:val="16"/>
                <w:u w:val="none"/>
                <w:lang w:val="en-US" w:eastAsia="zh-CN" w:bidi="ar-SA"/>
              </w:rPr>
            </w:pPr>
            <w:r>
              <w:rPr>
                <w:rFonts w:hint="eastAsia" w:ascii="微软雅黑" w:hAnsi="微软雅黑" w:eastAsia="微软雅黑" w:cs="微软雅黑"/>
                <w:i w:val="0"/>
                <w:iCs w:val="0"/>
                <w:color w:val="000000"/>
                <w:sz w:val="16"/>
                <w:szCs w:val="16"/>
                <w:u w:val="none"/>
                <w:lang w:val="en-US" w:eastAsia="zh-CN"/>
              </w:rPr>
              <w:t>100%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10</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参与评审的专家人数</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200</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人</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kern w:val="2"/>
                <w:sz w:val="16"/>
                <w:szCs w:val="16"/>
                <w:u w:val="none"/>
                <w:lang w:val="en-US" w:eastAsia="zh-CN" w:bidi="ar-SA"/>
              </w:rPr>
            </w:pPr>
            <w:r>
              <w:rPr>
                <w:rFonts w:hint="eastAsia" w:ascii="微软雅黑" w:hAnsi="微软雅黑" w:eastAsia="微软雅黑" w:cs="微软雅黑"/>
                <w:i w:val="0"/>
                <w:iCs w:val="0"/>
                <w:color w:val="000000"/>
                <w:sz w:val="16"/>
                <w:szCs w:val="16"/>
                <w:u w:val="none"/>
                <w:lang w:val="en-US" w:eastAsia="zh-CN"/>
              </w:rPr>
              <w:t>100%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5</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质量指标</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劳务报酬准确发放率</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98</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kern w:val="2"/>
                <w:sz w:val="16"/>
                <w:szCs w:val="16"/>
                <w:u w:val="none"/>
                <w:lang w:val="en-US" w:eastAsia="zh-CN" w:bidi="ar-SA"/>
              </w:rPr>
            </w:pPr>
            <w:r>
              <w:rPr>
                <w:rFonts w:hint="eastAsia" w:ascii="微软雅黑" w:hAnsi="微软雅黑" w:eastAsia="微软雅黑" w:cs="微软雅黑"/>
                <w:i w:val="0"/>
                <w:iCs w:val="0"/>
                <w:color w:val="000000"/>
                <w:sz w:val="16"/>
                <w:szCs w:val="16"/>
                <w:u w:val="none"/>
                <w:lang w:val="en-US" w:eastAsia="zh-CN"/>
              </w:rPr>
              <w:t>100%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5</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评审专家依规评审率</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97</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kern w:val="2"/>
                <w:sz w:val="16"/>
                <w:szCs w:val="16"/>
                <w:u w:val="none"/>
                <w:lang w:val="en-US" w:eastAsia="zh-CN" w:bidi="ar-SA"/>
              </w:rPr>
            </w:pPr>
            <w:r>
              <w:rPr>
                <w:rFonts w:hint="eastAsia" w:ascii="微软雅黑" w:hAnsi="微软雅黑" w:eastAsia="微软雅黑" w:cs="微软雅黑"/>
                <w:i w:val="0"/>
                <w:iCs w:val="0"/>
                <w:color w:val="000000"/>
                <w:sz w:val="16"/>
                <w:szCs w:val="16"/>
                <w:u w:val="none"/>
                <w:lang w:val="en-US" w:eastAsia="zh-CN"/>
              </w:rPr>
              <w:t>100%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5</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时效指标</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专家评审费及时支付率</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95</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kern w:val="2"/>
                <w:sz w:val="16"/>
                <w:szCs w:val="16"/>
                <w:u w:val="none"/>
                <w:lang w:val="en-US" w:eastAsia="zh-CN" w:bidi="ar-SA"/>
              </w:rPr>
            </w:pPr>
            <w:r>
              <w:rPr>
                <w:rFonts w:hint="eastAsia" w:ascii="微软雅黑" w:hAnsi="微软雅黑" w:eastAsia="微软雅黑" w:cs="微软雅黑"/>
                <w:i w:val="0"/>
                <w:iCs w:val="0"/>
                <w:color w:val="000000"/>
                <w:sz w:val="16"/>
                <w:szCs w:val="16"/>
                <w:u w:val="none"/>
                <w:lang w:val="en-US" w:eastAsia="zh-CN"/>
              </w:rPr>
              <w:t>100%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5</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用餐费及时支付率</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90</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kern w:val="2"/>
                <w:sz w:val="16"/>
                <w:szCs w:val="16"/>
                <w:u w:val="none"/>
                <w:lang w:val="en-US" w:eastAsia="zh-CN" w:bidi="ar-SA"/>
              </w:rPr>
            </w:pPr>
            <w:r>
              <w:rPr>
                <w:rFonts w:hint="eastAsia" w:ascii="微软雅黑" w:hAnsi="微软雅黑" w:eastAsia="微软雅黑" w:cs="微软雅黑"/>
                <w:i w:val="0"/>
                <w:iCs w:val="0"/>
                <w:color w:val="000000"/>
                <w:sz w:val="16"/>
                <w:szCs w:val="16"/>
                <w:u w:val="none"/>
                <w:lang w:val="en-US" w:eastAsia="zh-CN"/>
              </w:rPr>
              <w:t>100%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5</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成本指标</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专家评审费</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28</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万元</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微软雅黑" w:hAnsi="微软雅黑" w:eastAsia="微软雅黑" w:cs="微软雅黑"/>
                <w:i w:val="0"/>
                <w:iCs w:val="0"/>
                <w:color w:val="000000"/>
                <w:sz w:val="16"/>
                <w:szCs w:val="16"/>
                <w:u w:val="none"/>
                <w:lang w:val="en-US" w:eastAsia="zh-CN"/>
              </w:rPr>
            </w:pPr>
            <w:r>
              <w:rPr>
                <w:rFonts w:hint="eastAsia" w:ascii="微软雅黑" w:hAnsi="微软雅黑" w:eastAsia="微软雅黑" w:cs="微软雅黑"/>
                <w:i w:val="0"/>
                <w:iCs w:val="0"/>
                <w:color w:val="000000"/>
                <w:sz w:val="16"/>
                <w:szCs w:val="16"/>
                <w:u w:val="none"/>
                <w:lang w:val="en-US" w:eastAsia="zh-CN"/>
              </w:rPr>
              <w:t>95%</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4</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sz w:val="16"/>
                <w:szCs w:val="16"/>
                <w:u w:val="none"/>
              </w:rPr>
              <w:t>由于疫情原因，政府采购活动减少，少量经费用于疫情防控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专家及现场工作人员用餐费</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万元</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kern w:val="2"/>
                <w:sz w:val="16"/>
                <w:szCs w:val="16"/>
                <w:u w:val="none"/>
                <w:lang w:val="en-US" w:eastAsia="zh-CN" w:bidi="ar-SA"/>
              </w:rPr>
            </w:pPr>
            <w:r>
              <w:rPr>
                <w:rFonts w:hint="eastAsia" w:ascii="微软雅黑" w:hAnsi="微软雅黑" w:eastAsia="微软雅黑" w:cs="微软雅黑"/>
                <w:i w:val="0"/>
                <w:iCs w:val="0"/>
                <w:color w:val="000000"/>
                <w:sz w:val="16"/>
                <w:szCs w:val="16"/>
                <w:u w:val="none"/>
                <w:lang w:val="en-US" w:eastAsia="zh-CN"/>
              </w:rPr>
              <w:t>100%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5</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效益指标</w:t>
            </w:r>
          </w:p>
        </w:tc>
        <w:tc>
          <w:tcPr>
            <w:tcW w:w="17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社会效益指标</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落实国家政府采购政策情况</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定性</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好坏</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kern w:val="2"/>
                <w:sz w:val="16"/>
                <w:szCs w:val="16"/>
                <w:u w:val="none"/>
                <w:lang w:val="en-US" w:eastAsia="zh-CN" w:bidi="ar-SA"/>
              </w:rPr>
            </w:pPr>
            <w:r>
              <w:rPr>
                <w:rFonts w:hint="eastAsia" w:ascii="微软雅黑" w:hAnsi="微软雅黑" w:eastAsia="微软雅黑" w:cs="微软雅黑"/>
                <w:i w:val="0"/>
                <w:iCs w:val="0"/>
                <w:color w:val="000000"/>
                <w:sz w:val="16"/>
                <w:szCs w:val="16"/>
                <w:u w:val="none"/>
                <w:lang w:val="en-US" w:eastAsia="zh-CN"/>
              </w:rPr>
              <w:t>100%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15</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15</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提高政府采购服务质量</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定性</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优良中低差</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kern w:val="2"/>
                <w:sz w:val="16"/>
                <w:szCs w:val="16"/>
                <w:u w:val="none"/>
                <w:lang w:val="en-US" w:eastAsia="zh-CN" w:bidi="ar-SA"/>
              </w:rPr>
            </w:pPr>
            <w:r>
              <w:rPr>
                <w:rFonts w:hint="eastAsia" w:ascii="微软雅黑" w:hAnsi="微软雅黑" w:eastAsia="微软雅黑" w:cs="微软雅黑"/>
                <w:i w:val="0"/>
                <w:iCs w:val="0"/>
                <w:color w:val="000000"/>
                <w:sz w:val="16"/>
                <w:szCs w:val="16"/>
                <w:u w:val="none"/>
                <w:lang w:val="en-US" w:eastAsia="zh-CN"/>
              </w:rPr>
              <w:t>100%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15</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15</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满意度指标</w:t>
            </w:r>
          </w:p>
        </w:tc>
        <w:tc>
          <w:tcPr>
            <w:tcW w:w="17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服务对象满意度指标</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采购人满意度</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98</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5</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评审专家满意度</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98</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5</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60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合计</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99</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评价结论</w:t>
            </w:r>
          </w:p>
        </w:tc>
        <w:tc>
          <w:tcPr>
            <w:tcW w:w="1342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该项目自评总分99分，该项目顺利实施，保障了市级各部门政府采购活动正常、有序开展，推动了社会经济发展，评审专家对费用结算满意度达100%。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存在问题</w:t>
            </w:r>
          </w:p>
        </w:tc>
        <w:tc>
          <w:tcPr>
            <w:tcW w:w="1342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因政府采购数量难以预估，项目经费的指标设置与实际情况存在一定的差异，绩效目标还需要进一步优化。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改进措施</w:t>
            </w:r>
          </w:p>
        </w:tc>
        <w:tc>
          <w:tcPr>
            <w:tcW w:w="1342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sz w:val="16"/>
                <w:szCs w:val="16"/>
                <w:u w:val="none"/>
              </w:rPr>
              <w:t>根据工作实际合理设定年度绩效目标，并细化、量化指标设置，使项目预算安排与绩效目标合理匹配。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3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i w:val="0"/>
                <w:iCs w:val="0"/>
                <w:color w:val="000000"/>
                <w:sz w:val="18"/>
                <w:szCs w:val="18"/>
                <w:u w:val="none"/>
                <w:lang w:val="en-US" w:eastAsia="zh-CN"/>
              </w:rPr>
            </w:pPr>
            <w:r>
              <w:rPr>
                <w:rFonts w:hint="eastAsia" w:ascii="黑体" w:hAnsi="黑体" w:eastAsia="黑体" w:cs="黑体"/>
                <w:i w:val="0"/>
                <w:iCs w:val="0"/>
                <w:color w:val="000000"/>
                <w:kern w:val="0"/>
                <w:sz w:val="18"/>
                <w:szCs w:val="18"/>
                <w:u w:val="none"/>
                <w:lang w:val="en-US" w:eastAsia="zh-CN" w:bidi="ar"/>
              </w:rPr>
              <w:t>项目负责人：张兴东</w:t>
            </w:r>
          </w:p>
        </w:tc>
        <w:tc>
          <w:tcPr>
            <w:tcW w:w="681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财务负责人：陈榕</w:t>
            </w:r>
          </w:p>
        </w:tc>
      </w:tr>
    </w:tbl>
    <w:p>
      <w:pPr>
        <w:pStyle w:val="2"/>
        <w:rPr>
          <w:rFonts w:hint="eastAsia"/>
          <w:lang w:val="en-US" w:eastAsia="zh-CN"/>
        </w:rPr>
      </w:pPr>
    </w:p>
    <w:p>
      <w:pPr>
        <w:pStyle w:val="2"/>
        <w:rPr>
          <w:rFonts w:hint="eastAsia"/>
          <w:lang w:val="en-US" w:eastAsia="zh-CN"/>
        </w:rPr>
      </w:pPr>
    </w:p>
    <w:p>
      <w:pPr>
        <w:pStyle w:val="2"/>
        <w:rPr>
          <w:rFonts w:hint="eastAsia" w:ascii="仿宋_GB2312" w:hAnsi="Calibri" w:eastAsia="仿宋_GB2312" w:cs="仿宋"/>
          <w:color w:val="auto"/>
          <w:kern w:val="0"/>
          <w:sz w:val="32"/>
          <w:szCs w:val="32"/>
          <w:highlight w:val="none"/>
          <w:lang w:val="en-US" w:eastAsia="zh-CN" w:bidi="ar-SA"/>
        </w:rPr>
      </w:pPr>
    </w:p>
    <w:tbl>
      <w:tblPr>
        <w:tblStyle w:val="14"/>
        <w:tblW w:w="1411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0"/>
        <w:gridCol w:w="2055"/>
        <w:gridCol w:w="1770"/>
        <w:gridCol w:w="2265"/>
        <w:gridCol w:w="525"/>
        <w:gridCol w:w="1680"/>
        <w:gridCol w:w="525"/>
        <w:gridCol w:w="1095"/>
        <w:gridCol w:w="510"/>
        <w:gridCol w:w="450"/>
        <w:gridCol w:w="25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4" w:hRule="atLeast"/>
        </w:trPr>
        <w:tc>
          <w:tcPr>
            <w:tcW w:w="14115"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黑体" w:hAnsi="宋体" w:eastAsia="黑体" w:cs="黑体"/>
                <w:b/>
                <w:bCs/>
                <w:i w:val="0"/>
                <w:iCs w:val="0"/>
                <w:color w:val="000000"/>
                <w:sz w:val="30"/>
                <w:szCs w:val="30"/>
                <w:u w:val="none"/>
              </w:rPr>
            </w:pPr>
            <w:r>
              <w:rPr>
                <w:rFonts w:hint="eastAsia" w:ascii="黑体" w:hAnsi="宋体" w:eastAsia="黑体" w:cs="黑体"/>
                <w:b/>
                <w:bCs/>
                <w:i w:val="0"/>
                <w:iCs w:val="0"/>
                <w:color w:val="000000"/>
                <w:kern w:val="0"/>
                <w:sz w:val="30"/>
                <w:szCs w:val="30"/>
                <w:u w:val="none"/>
                <w:lang w:val="en-US" w:eastAsia="zh-CN" w:bidi="ar"/>
              </w:rPr>
              <w:t>部门预算项目支出绩效自评表（2022年度）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7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项目名称</w:t>
            </w:r>
          </w:p>
        </w:tc>
        <w:tc>
          <w:tcPr>
            <w:tcW w:w="1137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51080021T000000052243-网络运行维护费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4" w:hRule="atLeast"/>
        </w:trPr>
        <w:tc>
          <w:tcPr>
            <w:tcW w:w="27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主管部门</w:t>
            </w:r>
          </w:p>
        </w:tc>
        <w:tc>
          <w:tcPr>
            <w:tcW w:w="67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广元市政务服务和公共资源交易中心部门</w:t>
            </w:r>
          </w:p>
        </w:tc>
        <w:tc>
          <w:tcPr>
            <w:tcW w:w="1095"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实施单位 （盖章）</w:t>
            </w:r>
          </w:p>
        </w:tc>
        <w:tc>
          <w:tcPr>
            <w:tcW w:w="35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广元市公共资源交易信息中心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项目基本情况</w:t>
            </w:r>
          </w:p>
        </w:tc>
        <w:tc>
          <w:tcPr>
            <w:tcW w:w="20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1.项目年度目标完成情况</w:t>
            </w:r>
          </w:p>
        </w:tc>
        <w:tc>
          <w:tcPr>
            <w:tcW w:w="67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项目年度目标</w:t>
            </w:r>
          </w:p>
        </w:tc>
        <w:tc>
          <w:tcPr>
            <w:tcW w:w="46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年度目标完成情况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9"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67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确保2022年度市公共资源交易信息中心网络宽带及电话、应急抢险救灾施工队伍储备库信息系统、公共资源交易电子平台管理信息系统等网络系统稳定通畅运行。</w:t>
            </w:r>
          </w:p>
        </w:tc>
        <w:tc>
          <w:tcPr>
            <w:tcW w:w="46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2022年度市公共资源交易信息中心网络宽带及电话、应急抢险救灾施工队伍储备库信息系统、公共资源交易电子平台管理信息系统等网络系统稳定通畅运行。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4"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2.项目实施内容及过程概述</w:t>
            </w:r>
          </w:p>
        </w:tc>
        <w:tc>
          <w:tcPr>
            <w:tcW w:w="1137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18"/>
                <w:szCs w:val="18"/>
                <w:u w:val="none"/>
              </w:rPr>
              <w:t>主要用于座机使用年费、金财网、光纤互联网及政务外网年费，电信托管设备托管费、其他网络运维费支出。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预算执行情况（10分）</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年度预算数（万元）</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年初预算</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调整后预算数</w:t>
            </w: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预算执行数</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预算执行率</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原因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7"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总额</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w:t>
            </w: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10</w:t>
            </w:r>
          </w:p>
        </w:tc>
        <w:tc>
          <w:tcPr>
            <w:tcW w:w="25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1.预算执行率=预算执行数/调整后预算数，预算执行率未达到90%的需说明原因（100字以内）;2.年中发生预算调整的（追加或调减）,应单独说明理由；3.其他资金包括：社会投入资金、银行贷款.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其中：财政资金</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w:t>
            </w: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25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7"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财政专户管理资金</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25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单位资金</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25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其他资金</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25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绩效指标（90分）</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一级指标</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二级指标</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三级指标</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指标性质</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指标值</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度量单位</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完成值</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未完成原因分析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产出指标</w:t>
            </w:r>
          </w:p>
        </w:tc>
        <w:tc>
          <w:tcPr>
            <w:tcW w:w="17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数量指标</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网络正常运行的互联网专线个数</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个</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微软雅黑" w:hAnsi="微软雅黑" w:eastAsia="微软雅黑" w:cs="微软雅黑"/>
                <w:i w:val="0"/>
                <w:iCs w:val="0"/>
                <w:color w:val="000000"/>
                <w:sz w:val="16"/>
                <w:szCs w:val="16"/>
                <w:u w:val="none"/>
                <w:lang w:val="en-US" w:eastAsia="zh-CN"/>
              </w:rPr>
            </w:pPr>
            <w:r>
              <w:rPr>
                <w:rFonts w:hint="eastAsia" w:ascii="微软雅黑" w:hAnsi="微软雅黑" w:eastAsia="微软雅黑" w:cs="微软雅黑"/>
                <w:i w:val="0"/>
                <w:iCs w:val="0"/>
                <w:color w:val="000000"/>
                <w:sz w:val="16"/>
                <w:szCs w:val="16"/>
                <w:u w:val="none"/>
                <w:lang w:val="en-US" w:eastAsia="zh-CN"/>
              </w:rPr>
              <w:t>100%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5</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网络正常运行的座机个数</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个</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sz w:val="16"/>
                <w:szCs w:val="16"/>
                <w:u w:val="none"/>
                <w:lang w:val="en-US" w:eastAsia="zh-CN"/>
              </w:rPr>
              <w:t>100%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5</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防火墙病毒库授权服务器数量</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个</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sz w:val="16"/>
                <w:szCs w:val="16"/>
                <w:u w:val="none"/>
                <w:lang w:val="en-US" w:eastAsia="zh-CN"/>
              </w:rPr>
              <w:t>100%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5</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需维护的平台个数</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个</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sz w:val="16"/>
                <w:szCs w:val="16"/>
                <w:u w:val="none"/>
                <w:lang w:val="en-US" w:eastAsia="zh-CN"/>
              </w:rPr>
              <w:t>100%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5</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9"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质量指标</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办公场所及开标区域网络宽带及座机电话正常运行率</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99</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sz w:val="16"/>
                <w:szCs w:val="16"/>
                <w:u w:val="none"/>
                <w:lang w:val="en-US" w:eastAsia="zh-CN"/>
              </w:rPr>
              <w:t>100%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5</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应急抢险救灾施工队伍储备库信息系统正常运行率</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99</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sz w:val="16"/>
                <w:szCs w:val="16"/>
                <w:u w:val="none"/>
                <w:lang w:val="en-US" w:eastAsia="zh-CN"/>
              </w:rPr>
              <w:t>100%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5</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公共资源交易电子化平台网络建设正常运行率</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99</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sz w:val="16"/>
                <w:szCs w:val="16"/>
                <w:u w:val="none"/>
                <w:lang w:val="en-US" w:eastAsia="zh-CN"/>
              </w:rPr>
              <w:t>100%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4</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5</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时效指标</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网络维护完成率</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sz w:val="16"/>
                <w:szCs w:val="16"/>
                <w:u w:val="none"/>
                <w:lang w:val="en-US" w:eastAsia="zh-CN"/>
              </w:rPr>
              <w:t>100%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10</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成本指标</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防火墙病毒库授权服务及其他网络运维费支出</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4</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万元</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sz w:val="16"/>
                <w:szCs w:val="16"/>
                <w:u w:val="none"/>
                <w:lang w:val="en-US" w:eastAsia="zh-CN"/>
              </w:rPr>
              <w:t>100%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3</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金财网、光纤互联网及政务外网年费</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5.3</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万元</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sz w:val="16"/>
                <w:szCs w:val="16"/>
                <w:u w:val="none"/>
                <w:lang w:val="en-US" w:eastAsia="zh-CN"/>
              </w:rPr>
              <w:t>100%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4</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4</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座机使用年费</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0.7</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万元</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sz w:val="16"/>
                <w:szCs w:val="16"/>
                <w:u w:val="none"/>
                <w:lang w:val="en-US" w:eastAsia="zh-CN"/>
              </w:rPr>
              <w:t>100%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3</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效益指标</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社会效益指标</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公共资源交易服务质量提升度</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定性</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优良中低差</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微软雅黑" w:hAnsi="微软雅黑" w:eastAsia="微软雅黑" w:cs="微软雅黑"/>
                <w:i w:val="0"/>
                <w:iCs w:val="0"/>
                <w:color w:val="000000"/>
                <w:sz w:val="16"/>
                <w:szCs w:val="16"/>
                <w:u w:val="none"/>
                <w:lang w:val="en-US" w:eastAsia="zh-CN"/>
              </w:rPr>
            </w:pPr>
            <w:r>
              <w:rPr>
                <w:rFonts w:hint="eastAsia" w:ascii="微软雅黑" w:hAnsi="微软雅黑" w:eastAsia="微软雅黑" w:cs="微软雅黑"/>
                <w:i w:val="0"/>
                <w:iCs w:val="0"/>
                <w:color w:val="000000"/>
                <w:sz w:val="16"/>
                <w:szCs w:val="16"/>
                <w:u w:val="none"/>
                <w:lang w:val="en-US" w:eastAsia="zh-CN"/>
              </w:rPr>
              <w:t>80%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30</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25</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sz w:val="16"/>
                <w:szCs w:val="16"/>
                <w:u w:val="none"/>
              </w:rPr>
              <w:t>公共资源交易区域有时会出现网络故障，公共服务质量有待提高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满意度指标</w:t>
            </w:r>
          </w:p>
        </w:tc>
        <w:tc>
          <w:tcPr>
            <w:tcW w:w="17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服务对象满意度指标</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工作人员对平台使用满意度</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90</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sz w:val="16"/>
                <w:szCs w:val="16"/>
                <w:u w:val="none"/>
                <w:lang w:val="en-US" w:eastAsia="zh-CN"/>
              </w:rPr>
              <w:t>100%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5</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服务对象满意度</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90</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sz w:val="16"/>
                <w:szCs w:val="16"/>
                <w:u w:val="none"/>
                <w:lang w:val="en-US" w:eastAsia="zh-CN"/>
              </w:rPr>
              <w:t>100%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5</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60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合计</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95</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评价结论</w:t>
            </w:r>
          </w:p>
        </w:tc>
        <w:tc>
          <w:tcPr>
            <w:tcW w:w="1342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该项目自评总分95分，该项目顺利实施，使全市公共资源电子化交易活动顺利开展，实现公共资源交易活动全流程电子化，搭建全国统一的公共资源交易电子平台，优化营商环境，推动社会经济发展。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存在问题</w:t>
            </w:r>
          </w:p>
        </w:tc>
        <w:tc>
          <w:tcPr>
            <w:tcW w:w="1342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项目经费使用严格按照相关规定执行，但仍存在项目支出进度缓慢，材料报送不及时等问题。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改进措施</w:t>
            </w:r>
          </w:p>
        </w:tc>
        <w:tc>
          <w:tcPr>
            <w:tcW w:w="1342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加快材料报送与审核流程，确保项目经费支出符合相关规定并按时支出。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73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项目负责人：王春桃</w:t>
            </w:r>
          </w:p>
        </w:tc>
        <w:tc>
          <w:tcPr>
            <w:tcW w:w="681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财务负责人：陈榕</w:t>
            </w:r>
          </w:p>
        </w:tc>
      </w:tr>
    </w:tbl>
    <w:p>
      <w:pPr>
        <w:pStyle w:val="2"/>
        <w:rPr>
          <w:rFonts w:hint="eastAsia" w:ascii="仿宋_GB2312" w:hAnsi="Calibri" w:eastAsia="仿宋_GB2312" w:cs="仿宋"/>
          <w:color w:val="auto"/>
          <w:kern w:val="0"/>
          <w:sz w:val="32"/>
          <w:szCs w:val="32"/>
          <w:highlight w:val="none"/>
          <w:lang w:val="en-US" w:eastAsia="zh-CN" w:bidi="ar-SA"/>
        </w:rPr>
      </w:pPr>
    </w:p>
    <w:p>
      <w:pPr>
        <w:pStyle w:val="2"/>
        <w:rPr>
          <w:rFonts w:hint="eastAsia" w:ascii="仿宋_GB2312" w:hAnsi="Calibri" w:eastAsia="仿宋_GB2312" w:cs="仿宋"/>
          <w:color w:val="auto"/>
          <w:kern w:val="0"/>
          <w:sz w:val="32"/>
          <w:szCs w:val="32"/>
          <w:highlight w:val="none"/>
          <w:lang w:val="en-US" w:eastAsia="zh-CN" w:bidi="ar-SA"/>
        </w:rPr>
      </w:pPr>
    </w:p>
    <w:tbl>
      <w:tblPr>
        <w:tblStyle w:val="14"/>
        <w:tblW w:w="1411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89"/>
        <w:gridCol w:w="2048"/>
        <w:gridCol w:w="1764"/>
        <w:gridCol w:w="2257"/>
        <w:gridCol w:w="524"/>
        <w:gridCol w:w="1675"/>
        <w:gridCol w:w="524"/>
        <w:gridCol w:w="1094"/>
        <w:gridCol w:w="510"/>
        <w:gridCol w:w="487"/>
        <w:gridCol w:w="254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4" w:hRule="atLeast"/>
        </w:trPr>
        <w:tc>
          <w:tcPr>
            <w:tcW w:w="14115"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黑体" w:hAnsi="宋体" w:eastAsia="黑体" w:cs="黑体"/>
                <w:b/>
                <w:bCs/>
                <w:i w:val="0"/>
                <w:iCs w:val="0"/>
                <w:color w:val="000000"/>
                <w:sz w:val="30"/>
                <w:szCs w:val="30"/>
                <w:u w:val="none"/>
              </w:rPr>
            </w:pPr>
            <w:r>
              <w:rPr>
                <w:rFonts w:hint="eastAsia" w:ascii="黑体" w:hAnsi="宋体" w:eastAsia="黑体" w:cs="黑体"/>
                <w:b/>
                <w:bCs/>
                <w:i w:val="0"/>
                <w:iCs w:val="0"/>
                <w:color w:val="000000"/>
                <w:kern w:val="0"/>
                <w:sz w:val="30"/>
                <w:szCs w:val="30"/>
                <w:u w:val="none"/>
                <w:lang w:val="en-US" w:eastAsia="zh-CN" w:bidi="ar"/>
              </w:rPr>
              <w:t>部门预算项目支出绩效自评表（2022年度）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7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项目名称</w:t>
            </w:r>
          </w:p>
        </w:tc>
        <w:tc>
          <w:tcPr>
            <w:tcW w:w="1137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51080021T000000052244-交易场地设施设备维护费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4" w:hRule="atLeast"/>
        </w:trPr>
        <w:tc>
          <w:tcPr>
            <w:tcW w:w="27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主管部门</w:t>
            </w:r>
          </w:p>
        </w:tc>
        <w:tc>
          <w:tcPr>
            <w:tcW w:w="67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广元市政务服务和公共资源交易中心部门</w:t>
            </w:r>
          </w:p>
        </w:tc>
        <w:tc>
          <w:tcPr>
            <w:tcW w:w="1095"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实施单位 （盖章）</w:t>
            </w:r>
          </w:p>
        </w:tc>
        <w:tc>
          <w:tcPr>
            <w:tcW w:w="35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广元市公共资源交易信息中心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项目基本情况</w:t>
            </w:r>
          </w:p>
        </w:tc>
        <w:tc>
          <w:tcPr>
            <w:tcW w:w="20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1.项目年度目标完成情况</w:t>
            </w:r>
          </w:p>
        </w:tc>
        <w:tc>
          <w:tcPr>
            <w:tcW w:w="67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项目年度目标</w:t>
            </w:r>
          </w:p>
        </w:tc>
        <w:tc>
          <w:tcPr>
            <w:tcW w:w="46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年度目标完成情况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4"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67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对市公共资源交易信息中心开标室、评标室、监控室、机房、开评标区外围大厅等交易场所的设施设备进行维修维护，确保各项设备正常使用；对照省中心对各市州建设规范化、标准化、示范化交易中心的要求，对交易中心相关制度、公示牌、环境布置等进行维护改造升级。</w:t>
            </w:r>
          </w:p>
        </w:tc>
        <w:tc>
          <w:tcPr>
            <w:tcW w:w="46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2022年度开标室、评标室、监控室、机房、开评标区外围大厅等交易场所的设施设备能正常使用，规范化、标准化、示范交易中心“回头看”的要求达标。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4"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2.项目实施内容及过程概述</w:t>
            </w:r>
          </w:p>
        </w:tc>
        <w:tc>
          <w:tcPr>
            <w:tcW w:w="1137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18"/>
                <w:szCs w:val="18"/>
                <w:u w:val="none"/>
              </w:rPr>
              <w:t>交易场地设施设备购置及维护若干；根据需要更换或新建一批标识牌、制度牌等；公共资源交易活动现场设施设备能正常使用；公共资源电子化交易活动顺利开展。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预算执行情况（10分）</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年度预算数（万元）</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年初预算</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调整后预算数</w:t>
            </w: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预算执行数</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预算执行率</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原因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7"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总额</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5.73</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5.73</w:t>
            </w: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5.73</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10</w:t>
            </w:r>
          </w:p>
        </w:tc>
        <w:tc>
          <w:tcPr>
            <w:tcW w:w="25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1.预算执行率=预算执行数/调整后预算数，预算执行率未达到90%的需说明原因（100字以内）;2.年中发生预算调整的（追加或调减）,应单独说明理由；3.其他资金包括：社会投入资金、银行贷款.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其中：财政资金</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5.73</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5.73</w:t>
            </w: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5.73</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25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7"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财政专户管理资金</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25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单位资金</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25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其他资金</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25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绩效指标（90分）</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一级指标</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二级指标</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三级指标</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指标性质</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指标值</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度量单位</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完成值</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未完成原因分析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产出指标</w:t>
            </w:r>
          </w:p>
        </w:tc>
        <w:tc>
          <w:tcPr>
            <w:tcW w:w="17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数量指标</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维护打印机个数</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21</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个</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微软雅黑" w:hAnsi="微软雅黑" w:eastAsia="微软雅黑" w:cs="微软雅黑"/>
                <w:i w:val="0"/>
                <w:iCs w:val="0"/>
                <w:color w:val="000000"/>
                <w:sz w:val="16"/>
                <w:szCs w:val="16"/>
                <w:u w:val="none"/>
                <w:lang w:val="en-US" w:eastAsia="zh-CN"/>
              </w:rPr>
            </w:pPr>
            <w:r>
              <w:rPr>
                <w:rFonts w:hint="eastAsia" w:ascii="微软雅黑" w:hAnsi="微软雅黑" w:eastAsia="微软雅黑" w:cs="微软雅黑"/>
                <w:i w:val="0"/>
                <w:iCs w:val="0"/>
                <w:color w:val="000000"/>
                <w:sz w:val="16"/>
                <w:szCs w:val="16"/>
                <w:u w:val="none"/>
                <w:lang w:val="en-US" w:eastAsia="zh-CN"/>
              </w:rPr>
              <w:t>100%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5</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维护电脑台数</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61</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台</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sz w:val="16"/>
                <w:szCs w:val="16"/>
                <w:u w:val="none"/>
                <w:lang w:val="en-US" w:eastAsia="zh-CN"/>
              </w:rPr>
              <w:t>100%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5</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维护LED显示屏个数</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个</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sz w:val="16"/>
                <w:szCs w:val="16"/>
                <w:u w:val="none"/>
                <w:lang w:val="en-US" w:eastAsia="zh-CN"/>
              </w:rPr>
              <w:t>100%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5</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办公家具购、设备置数</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批</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sz w:val="16"/>
                <w:szCs w:val="16"/>
                <w:u w:val="none"/>
                <w:lang w:val="en-US" w:eastAsia="zh-CN"/>
              </w:rPr>
              <w:t>100%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5</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维护投影设备数量</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套</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sz w:val="16"/>
                <w:szCs w:val="16"/>
                <w:u w:val="none"/>
                <w:lang w:val="en-US" w:eastAsia="zh-CN"/>
              </w:rPr>
              <w:t>100%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4</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4</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质量指标</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设施设备完好率</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90</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sz w:val="16"/>
                <w:szCs w:val="16"/>
                <w:u w:val="none"/>
                <w:lang w:val="en-US" w:eastAsia="zh-CN"/>
              </w:rPr>
              <w:t>100%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3</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设施设备故障率</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sz w:val="16"/>
                <w:szCs w:val="16"/>
                <w:u w:val="none"/>
                <w:lang w:val="en-US" w:eastAsia="zh-CN"/>
              </w:rPr>
              <w:t>100%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3</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时效指标</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设备故障及时修复率</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90</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sz w:val="16"/>
                <w:szCs w:val="16"/>
                <w:u w:val="none"/>
                <w:lang w:val="en-US" w:eastAsia="zh-CN"/>
              </w:rPr>
              <w:t>100%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10</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成本指标</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耗材费</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2.5</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万元</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sz w:val="16"/>
                <w:szCs w:val="16"/>
                <w:u w:val="none"/>
                <w:lang w:val="en-US" w:eastAsia="zh-CN"/>
              </w:rPr>
              <w:t>100%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4</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4</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设施设备维护维修费</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万元</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sz w:val="16"/>
                <w:szCs w:val="16"/>
                <w:u w:val="none"/>
                <w:lang w:val="en-US" w:eastAsia="zh-CN"/>
              </w:rPr>
              <w:t>100%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3</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两化建设改造升级建设费</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1.02</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万元</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sz w:val="16"/>
                <w:szCs w:val="16"/>
                <w:u w:val="none"/>
                <w:lang w:val="en-US" w:eastAsia="zh-CN"/>
              </w:rPr>
              <w:t>100%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3</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效益指标</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社会效益指标</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推动公共资源交易活动有序开展</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定性</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优良中低差</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sz w:val="16"/>
                <w:szCs w:val="16"/>
                <w:u w:val="none"/>
                <w:lang w:val="en-US" w:eastAsia="zh-CN"/>
              </w:rPr>
              <w:t>100%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30</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30</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满意度指标</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服务对象满意度指标</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公共资源交易相关活动主体满意度</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95</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sz w:val="16"/>
                <w:szCs w:val="16"/>
                <w:u w:val="none"/>
                <w:lang w:val="en-US" w:eastAsia="zh-CN"/>
              </w:rPr>
              <w:t>100%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10</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60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合计</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100</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评价结论</w:t>
            </w:r>
          </w:p>
        </w:tc>
        <w:tc>
          <w:tcPr>
            <w:tcW w:w="1342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该项目自评总分100分，该项目顺利实施，2022年度开标室、评标室、监控室、机房、开评标区外围大厅等交易场所的设施设备能正常使用，规范化、标准化、示范交易中心“回头看”的要求达标，公共资源交易活动正常有序开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存在问题</w:t>
            </w:r>
          </w:p>
        </w:tc>
        <w:tc>
          <w:tcPr>
            <w:tcW w:w="1342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由于公共资源交易场地建设、改造、升级较多，经费预算略有不足。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改进措施</w:t>
            </w:r>
          </w:p>
        </w:tc>
        <w:tc>
          <w:tcPr>
            <w:tcW w:w="1342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16"/>
                <w:szCs w:val="16"/>
                <w:u w:val="none"/>
                <w:lang w:eastAsia="zh-CN"/>
              </w:rPr>
            </w:pPr>
            <w:r>
              <w:rPr>
                <w:rFonts w:hint="eastAsia" w:ascii="微软雅黑" w:hAnsi="微软雅黑" w:eastAsia="微软雅黑" w:cs="微软雅黑"/>
                <w:i w:val="0"/>
                <w:iCs w:val="0"/>
                <w:color w:val="000000"/>
                <w:sz w:val="16"/>
                <w:szCs w:val="16"/>
                <w:u w:val="none"/>
                <w:lang w:eastAsia="zh-CN"/>
              </w:rPr>
              <w:t>建议增加该项目预算资金，主要用于交易场低升级改造，建设省内示范性、标准化交易中心。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3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项目负责人：周建</w:t>
            </w:r>
          </w:p>
        </w:tc>
        <w:tc>
          <w:tcPr>
            <w:tcW w:w="681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财务负责人：陈榕</w:t>
            </w:r>
          </w:p>
        </w:tc>
      </w:tr>
    </w:tbl>
    <w:p>
      <w:pPr>
        <w:pStyle w:val="2"/>
        <w:rPr>
          <w:rFonts w:hint="eastAsia" w:ascii="仿宋_GB2312" w:hAnsi="Calibri" w:eastAsia="仿宋_GB2312" w:cs="仿宋"/>
          <w:color w:val="auto"/>
          <w:kern w:val="0"/>
          <w:sz w:val="32"/>
          <w:szCs w:val="32"/>
          <w:highlight w:val="none"/>
          <w:lang w:val="en-US" w:eastAsia="zh-CN" w:bidi="ar-SA"/>
        </w:rPr>
      </w:pPr>
    </w:p>
    <w:p>
      <w:pPr>
        <w:pStyle w:val="2"/>
        <w:rPr>
          <w:rFonts w:hint="eastAsia" w:ascii="仿宋_GB2312" w:hAnsi="Calibri" w:eastAsia="仿宋_GB2312" w:cs="仿宋"/>
          <w:color w:val="auto"/>
          <w:kern w:val="0"/>
          <w:sz w:val="32"/>
          <w:szCs w:val="32"/>
          <w:highlight w:val="none"/>
          <w:lang w:val="en-US" w:eastAsia="zh-CN" w:bidi="ar-SA"/>
        </w:rPr>
      </w:pPr>
    </w:p>
    <w:tbl>
      <w:tblPr>
        <w:tblStyle w:val="14"/>
        <w:tblW w:w="1411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0"/>
        <w:gridCol w:w="2055"/>
        <w:gridCol w:w="1770"/>
        <w:gridCol w:w="2265"/>
        <w:gridCol w:w="525"/>
        <w:gridCol w:w="1680"/>
        <w:gridCol w:w="525"/>
        <w:gridCol w:w="1095"/>
        <w:gridCol w:w="510"/>
        <w:gridCol w:w="450"/>
        <w:gridCol w:w="25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4" w:hRule="atLeast"/>
        </w:trPr>
        <w:tc>
          <w:tcPr>
            <w:tcW w:w="14115"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黑体" w:hAnsi="宋体" w:eastAsia="黑体" w:cs="黑体"/>
                <w:b/>
                <w:bCs/>
                <w:i w:val="0"/>
                <w:iCs w:val="0"/>
                <w:color w:val="000000"/>
                <w:sz w:val="30"/>
                <w:szCs w:val="30"/>
                <w:u w:val="none"/>
              </w:rPr>
            </w:pPr>
            <w:r>
              <w:rPr>
                <w:rFonts w:hint="eastAsia" w:ascii="黑体" w:hAnsi="宋体" w:eastAsia="黑体" w:cs="黑体"/>
                <w:b/>
                <w:bCs/>
                <w:i w:val="0"/>
                <w:iCs w:val="0"/>
                <w:color w:val="000000"/>
                <w:kern w:val="0"/>
                <w:sz w:val="30"/>
                <w:szCs w:val="30"/>
                <w:u w:val="none"/>
                <w:lang w:val="en-US" w:eastAsia="zh-CN" w:bidi="ar"/>
              </w:rPr>
              <w:t>部门预算项目支出绩效自评表（2022年度）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7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项目名称</w:t>
            </w:r>
          </w:p>
        </w:tc>
        <w:tc>
          <w:tcPr>
            <w:tcW w:w="1137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51080022T000004937340-土地出让工作经费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4" w:hRule="atLeast"/>
        </w:trPr>
        <w:tc>
          <w:tcPr>
            <w:tcW w:w="27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主管部门</w:t>
            </w:r>
          </w:p>
        </w:tc>
        <w:tc>
          <w:tcPr>
            <w:tcW w:w="67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广元市政务服务和公共资源交易中心部门</w:t>
            </w:r>
          </w:p>
        </w:tc>
        <w:tc>
          <w:tcPr>
            <w:tcW w:w="1095"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实施单位 （盖章）</w:t>
            </w:r>
          </w:p>
        </w:tc>
        <w:tc>
          <w:tcPr>
            <w:tcW w:w="35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广元市公共资源交易信息中心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项目基本情况</w:t>
            </w:r>
          </w:p>
        </w:tc>
        <w:tc>
          <w:tcPr>
            <w:tcW w:w="20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1.项目年度目标完成情况</w:t>
            </w:r>
          </w:p>
        </w:tc>
        <w:tc>
          <w:tcPr>
            <w:tcW w:w="67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项目年度目标</w:t>
            </w:r>
          </w:p>
        </w:tc>
        <w:tc>
          <w:tcPr>
            <w:tcW w:w="46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年度目标完成情况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9"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67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受托完成土地（矿权）出让15宗，土地（矿权）交易服务费收入2500万元。</w:t>
            </w:r>
          </w:p>
        </w:tc>
        <w:tc>
          <w:tcPr>
            <w:tcW w:w="46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受托完成国有土地使用权出让11宗，矿权交易8个，上缴财政非税收入3200余万元。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4"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2.项目实施内容及过程概述</w:t>
            </w:r>
          </w:p>
        </w:tc>
        <w:tc>
          <w:tcPr>
            <w:tcW w:w="1137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18"/>
                <w:szCs w:val="18"/>
                <w:u w:val="none"/>
              </w:rPr>
              <w:t>该项目主要用于支付土地拍卖机构劳务费、土地（矿权）出让公告费及其他为完成年度非税征收任务而进行的必要开支。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预算执行情况（10分）</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年度预算数（万元）</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年初预算</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调整后预算数</w:t>
            </w: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预算执行数</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预算执行率</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原因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7"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总额</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60.00</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60.00</w:t>
            </w: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60.00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10</w:t>
            </w:r>
          </w:p>
        </w:tc>
        <w:tc>
          <w:tcPr>
            <w:tcW w:w="25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1.预算执行率=预算执行数/调整后预算数，预算执行率未达到90%的需说明原因（100字以内）;2.年中发生预算调整的（追加或调减）,应单独说明理由；3.其他资金包括：社会投入资金、银行贷款.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其中：财政资金</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60.00</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60.00</w:t>
            </w: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60.00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25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7"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财政专户管理资金</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25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单位资金</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25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其他资金</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27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25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黑体" w:hAnsi="黑体" w:eastAsia="黑体" w:cs="黑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绩效指标（90分）</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一级指标</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二级指标</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三级指标</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指标性质</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指标值</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度量单位</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完成值</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未完成原因分析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产出指标</w:t>
            </w:r>
          </w:p>
        </w:tc>
        <w:tc>
          <w:tcPr>
            <w:tcW w:w="17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数量指标</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土地（矿权）拍卖组织活动宗数</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15</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宗</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7</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土地（矿权）出让登报宗数</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15</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宗</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7</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质量指标</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完成市财政下达的年度非税征收任务</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2500</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万元</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7</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时效指标</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按委托人要求时限内发布公告</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日</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8</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8</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成本指标</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公告登报宣传费</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万元</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微软雅黑" w:hAnsi="微软雅黑" w:eastAsia="微软雅黑" w:cs="微软雅黑"/>
                <w:i w:val="0"/>
                <w:iCs w:val="0"/>
                <w:color w:val="000000"/>
                <w:sz w:val="16"/>
                <w:szCs w:val="16"/>
                <w:u w:val="none"/>
                <w:lang w:val="en-US" w:eastAsia="zh-CN"/>
              </w:rPr>
            </w:pPr>
            <w:r>
              <w:rPr>
                <w:rFonts w:hint="eastAsia" w:ascii="微软雅黑" w:hAnsi="微软雅黑" w:eastAsia="微软雅黑" w:cs="微软雅黑"/>
                <w:i w:val="0"/>
                <w:iCs w:val="0"/>
                <w:color w:val="000000"/>
                <w:sz w:val="16"/>
                <w:szCs w:val="16"/>
                <w:u w:val="none"/>
                <w:lang w:val="en-US" w:eastAsia="zh-CN"/>
              </w:rPr>
              <w:t>80%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7</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5</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sz w:val="16"/>
                <w:szCs w:val="16"/>
                <w:u w:val="none"/>
              </w:rPr>
              <w:t>由于疫情原因，土地拍卖活动减少，给拍卖机构的劳务费未达到预期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拍卖活动中介机构劳务支出</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30</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万元</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微软雅黑" w:hAnsi="微软雅黑" w:eastAsia="微软雅黑" w:cs="微软雅黑"/>
                <w:i w:val="0"/>
                <w:iCs w:val="0"/>
                <w:color w:val="000000"/>
                <w:sz w:val="16"/>
                <w:szCs w:val="16"/>
                <w:u w:val="none"/>
                <w:lang w:val="en-US" w:eastAsia="zh-CN"/>
              </w:rPr>
            </w:pPr>
            <w:r>
              <w:rPr>
                <w:rFonts w:hint="eastAsia" w:ascii="微软雅黑" w:hAnsi="微软雅黑" w:eastAsia="微软雅黑" w:cs="微软雅黑"/>
                <w:i w:val="0"/>
                <w:iCs w:val="0"/>
                <w:color w:val="000000"/>
                <w:sz w:val="16"/>
                <w:szCs w:val="16"/>
                <w:u w:val="none"/>
                <w:lang w:val="en-US" w:eastAsia="zh-CN"/>
              </w:rPr>
              <w:t>80%</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7</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5</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sz w:val="16"/>
                <w:szCs w:val="16"/>
                <w:u w:val="none"/>
              </w:rPr>
              <w:t>由于疫情原因，土地拍卖活动减少，给拍卖机构的劳务费未达到预期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其他非税征收成本支出</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25</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万元</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7</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7</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效益指标</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经济效益指标</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促进财政增收</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2500</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万元</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15</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15</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社会效益指标</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推动房地产行业的发展</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定性</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高中低</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15</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15</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满意度指标</w:t>
            </w:r>
          </w:p>
        </w:tc>
        <w:tc>
          <w:tcPr>
            <w:tcW w:w="17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服务对象满意度指标</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委托人满意度</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95</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5</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0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7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竞买人满意度</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95</w:t>
            </w:r>
          </w:p>
        </w:tc>
        <w:tc>
          <w:tcPr>
            <w:tcW w:w="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5</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60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合计</w:t>
            </w:r>
          </w:p>
        </w:tc>
        <w:tc>
          <w:tcPr>
            <w:tcW w:w="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96</w:t>
            </w:r>
          </w:p>
        </w:tc>
        <w:tc>
          <w:tcPr>
            <w:tcW w:w="25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评价结论</w:t>
            </w:r>
          </w:p>
        </w:tc>
        <w:tc>
          <w:tcPr>
            <w:tcW w:w="1342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该项目自评总分96分，该项目顺利实施，加大了全市土地出让力度，促进房地产市场活跃发展，为市本级财政增加收入，拍卖机构满意度达100%。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存在问题</w:t>
            </w:r>
          </w:p>
        </w:tc>
        <w:tc>
          <w:tcPr>
            <w:tcW w:w="1342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6"/>
                <w:szCs w:val="16"/>
                <w:u w:val="none"/>
                <w:lang w:val="en-US" w:eastAsia="zh-CN" w:bidi="ar"/>
              </w:rPr>
            </w:pPr>
            <w:r>
              <w:rPr>
                <w:rFonts w:hint="eastAsia" w:ascii="微软雅黑" w:hAnsi="微软雅黑" w:eastAsia="微软雅黑" w:cs="微软雅黑"/>
                <w:i w:val="0"/>
                <w:iCs w:val="0"/>
                <w:color w:val="000000"/>
                <w:kern w:val="0"/>
                <w:sz w:val="16"/>
                <w:szCs w:val="16"/>
                <w:u w:val="none"/>
                <w:lang w:val="en-US" w:eastAsia="zh-CN" w:bidi="ar"/>
              </w:rPr>
              <w:t>1.绩效目标还需要进一步细化、量化。</w:t>
            </w:r>
          </w:p>
          <w:p>
            <w:pPr>
              <w:keepNext w:val="0"/>
              <w:keepLines w:val="0"/>
              <w:widowControl/>
              <w:suppressLineNumbers w:val="0"/>
              <w:jc w:val="left"/>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2.预算执行进度较慢，存在年末集中支付情况。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改进措施</w:t>
            </w:r>
          </w:p>
        </w:tc>
        <w:tc>
          <w:tcPr>
            <w:tcW w:w="1342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16"/>
                <w:szCs w:val="16"/>
                <w:u w:val="none"/>
                <w:lang w:val="en-US" w:eastAsia="zh-CN" w:bidi="ar"/>
              </w:rPr>
            </w:pPr>
            <w:r>
              <w:rPr>
                <w:rFonts w:hint="eastAsia" w:ascii="微软雅黑" w:hAnsi="微软雅黑" w:eastAsia="微软雅黑" w:cs="微软雅黑"/>
                <w:i w:val="0"/>
                <w:iCs w:val="0"/>
                <w:color w:val="000000"/>
                <w:kern w:val="0"/>
                <w:sz w:val="16"/>
                <w:szCs w:val="16"/>
                <w:u w:val="none"/>
                <w:lang w:val="en-US" w:eastAsia="zh-CN" w:bidi="ar"/>
              </w:rPr>
              <w:t>1.根据工作实际合理设定年度绩效目标，并细化、量化指标设置，使项目预算安排与绩效目标合理匹配。</w:t>
            </w:r>
          </w:p>
          <w:p>
            <w:pPr>
              <w:keepNext w:val="0"/>
              <w:keepLines w:val="0"/>
              <w:widowControl/>
              <w:suppressLineNumbers w:val="0"/>
              <w:jc w:val="left"/>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2.年初预算下达后，及时拟定相应的资金使用方案，督促相关科室及时执行，强化预算执行的日常管理，加快预算执行。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3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项目负责人：宁建华</w:t>
            </w:r>
          </w:p>
        </w:tc>
        <w:tc>
          <w:tcPr>
            <w:tcW w:w="681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财务负责人：陈榕</w:t>
            </w:r>
          </w:p>
        </w:tc>
      </w:tr>
    </w:tbl>
    <w:p>
      <w:pPr>
        <w:pStyle w:val="2"/>
        <w:rPr>
          <w:rFonts w:hint="eastAsia" w:ascii="仿宋_GB2312" w:hAnsi="Calibri" w:eastAsia="仿宋_GB2312" w:cs="仿宋"/>
          <w:color w:val="auto"/>
          <w:kern w:val="0"/>
          <w:sz w:val="32"/>
          <w:szCs w:val="32"/>
          <w:highlight w:val="none"/>
          <w:lang w:val="en-US" w:eastAsia="zh-CN" w:bidi="ar-SA"/>
        </w:rPr>
        <w:sectPr>
          <w:pgSz w:w="16838" w:h="11906" w:orient="landscape"/>
          <w:pgMar w:top="1800" w:right="1440" w:bottom="1800" w:left="1440" w:header="851" w:footer="992" w:gutter="0"/>
          <w:cols w:space="425" w:num="1"/>
          <w:titlePg/>
          <w:docGrid w:type="lines" w:linePitch="312" w:charSpace="0"/>
        </w:sectPr>
      </w:pPr>
    </w:p>
    <w:p>
      <w:pPr>
        <w:pStyle w:val="2"/>
        <w:rPr>
          <w:rFonts w:hint="eastAsia" w:ascii="仿宋_GB2312" w:hAnsi="Calibri" w:eastAsia="仿宋_GB2312" w:cs="仿宋"/>
          <w:color w:val="auto"/>
          <w:kern w:val="0"/>
          <w:sz w:val="32"/>
          <w:szCs w:val="32"/>
          <w:highlight w:val="none"/>
          <w:lang w:val="en-US" w:eastAsia="zh-CN" w:bidi="ar-SA"/>
        </w:rPr>
      </w:pPr>
    </w:p>
    <w:p>
      <w:pPr>
        <w:spacing w:line="600" w:lineRule="exact"/>
        <w:jc w:val="center"/>
        <w:outlineLvl w:val="0"/>
        <w:rPr>
          <w:rFonts w:hint="eastAsia" w:ascii="仿宋" w:hAnsi="仿宋" w:eastAsia="仿宋"/>
          <w:b w:val="0"/>
          <w:color w:val="auto"/>
          <w:highlight w:val="none"/>
        </w:rPr>
      </w:pPr>
      <w:bookmarkStart w:id="71" w:name="_Toc32143"/>
      <w:r>
        <w:rPr>
          <w:rFonts w:hint="eastAsia" w:ascii="黑体" w:hAnsi="黑体" w:eastAsia="黑体"/>
          <w:color w:val="auto"/>
          <w:sz w:val="44"/>
          <w:szCs w:val="44"/>
          <w:highlight w:val="none"/>
        </w:rPr>
        <w:t>第</w:t>
      </w:r>
      <w:r>
        <w:rPr>
          <w:rStyle w:val="26"/>
          <w:rFonts w:hint="eastAsia" w:ascii="黑体" w:hAnsi="黑体" w:eastAsia="黑体"/>
          <w:b w:val="0"/>
          <w:color w:val="auto"/>
          <w:highlight w:val="none"/>
        </w:rPr>
        <w:t>五部分 附表</w:t>
      </w:r>
      <w:bookmarkEnd w:id="67"/>
      <w:bookmarkEnd w:id="70"/>
      <w:bookmarkEnd w:id="71"/>
      <w:bookmarkStart w:id="72" w:name="_Toc15396619"/>
    </w:p>
    <w:p>
      <w:pPr>
        <w:pStyle w:val="5"/>
        <w:rPr>
          <w:rFonts w:ascii="仿宋" w:hAnsi="仿宋" w:eastAsia="仿宋"/>
          <w:color w:val="auto"/>
          <w:highlight w:val="none"/>
        </w:rPr>
      </w:pPr>
      <w:bookmarkStart w:id="73" w:name="_Toc19463"/>
      <w:r>
        <w:rPr>
          <w:rFonts w:hint="eastAsia" w:ascii="仿宋" w:hAnsi="仿宋" w:eastAsia="仿宋"/>
          <w:b w:val="0"/>
          <w:color w:val="auto"/>
          <w:highlight w:val="none"/>
        </w:rPr>
        <w:t>一、收</w:t>
      </w:r>
      <w:r>
        <w:rPr>
          <w:rStyle w:val="27"/>
          <w:rFonts w:hint="eastAsia" w:ascii="仿宋" w:hAnsi="仿宋" w:eastAsia="仿宋"/>
          <w:b w:val="0"/>
          <w:bCs w:val="0"/>
          <w:color w:val="auto"/>
          <w:highlight w:val="none"/>
        </w:rPr>
        <w:t>入支出决算总表</w:t>
      </w:r>
      <w:bookmarkEnd w:id="72"/>
      <w:bookmarkEnd w:id="73"/>
    </w:p>
    <w:p>
      <w:pPr>
        <w:pStyle w:val="5"/>
        <w:rPr>
          <w:rFonts w:ascii="仿宋" w:hAnsi="仿宋" w:eastAsia="仿宋"/>
          <w:color w:val="auto"/>
          <w:highlight w:val="none"/>
        </w:rPr>
      </w:pPr>
      <w:bookmarkStart w:id="74" w:name="_Toc8131"/>
      <w:bookmarkStart w:id="75" w:name="_Toc15396620"/>
      <w:r>
        <w:rPr>
          <w:rFonts w:hint="eastAsia" w:ascii="仿宋" w:hAnsi="仿宋" w:eastAsia="仿宋"/>
          <w:b w:val="0"/>
          <w:color w:val="auto"/>
          <w:highlight w:val="none"/>
        </w:rPr>
        <w:t>二、收</w:t>
      </w:r>
      <w:r>
        <w:rPr>
          <w:rStyle w:val="27"/>
          <w:rFonts w:hint="eastAsia" w:ascii="仿宋" w:hAnsi="仿宋" w:eastAsia="仿宋"/>
          <w:b w:val="0"/>
          <w:bCs w:val="0"/>
          <w:color w:val="auto"/>
          <w:highlight w:val="none"/>
        </w:rPr>
        <w:t>入决算表</w:t>
      </w:r>
      <w:bookmarkEnd w:id="74"/>
      <w:bookmarkEnd w:id="75"/>
    </w:p>
    <w:p>
      <w:pPr>
        <w:pStyle w:val="5"/>
        <w:rPr>
          <w:rFonts w:ascii="仿宋" w:hAnsi="仿宋" w:eastAsia="仿宋"/>
          <w:color w:val="auto"/>
          <w:highlight w:val="none"/>
        </w:rPr>
      </w:pPr>
      <w:bookmarkStart w:id="76" w:name="_Toc15396621"/>
      <w:bookmarkStart w:id="77" w:name="_Toc17810"/>
      <w:r>
        <w:rPr>
          <w:rStyle w:val="27"/>
          <w:rFonts w:hint="eastAsia" w:ascii="仿宋" w:hAnsi="仿宋" w:eastAsia="仿宋"/>
          <w:b w:val="0"/>
          <w:bCs w:val="0"/>
          <w:color w:val="auto"/>
          <w:highlight w:val="none"/>
        </w:rPr>
        <w:t>三、</w:t>
      </w:r>
      <w:r>
        <w:rPr>
          <w:rFonts w:hint="eastAsia" w:ascii="仿宋" w:hAnsi="仿宋" w:eastAsia="仿宋"/>
          <w:b w:val="0"/>
          <w:color w:val="auto"/>
          <w:highlight w:val="none"/>
        </w:rPr>
        <w:t>支</w:t>
      </w:r>
      <w:r>
        <w:rPr>
          <w:rStyle w:val="27"/>
          <w:rFonts w:hint="eastAsia" w:ascii="仿宋" w:hAnsi="仿宋" w:eastAsia="仿宋"/>
          <w:b w:val="0"/>
          <w:bCs w:val="0"/>
          <w:color w:val="auto"/>
          <w:highlight w:val="none"/>
        </w:rPr>
        <w:t>出决算表</w:t>
      </w:r>
      <w:bookmarkEnd w:id="76"/>
      <w:bookmarkEnd w:id="77"/>
    </w:p>
    <w:p>
      <w:pPr>
        <w:pStyle w:val="5"/>
        <w:rPr>
          <w:rFonts w:ascii="仿宋" w:hAnsi="仿宋" w:eastAsia="仿宋"/>
          <w:b w:val="0"/>
          <w:color w:val="auto"/>
          <w:highlight w:val="none"/>
        </w:rPr>
      </w:pPr>
      <w:bookmarkStart w:id="78" w:name="_Toc15396622"/>
      <w:bookmarkStart w:id="79" w:name="_Toc5586"/>
      <w:r>
        <w:rPr>
          <w:rStyle w:val="27"/>
          <w:rFonts w:hint="eastAsia" w:ascii="仿宋" w:hAnsi="仿宋" w:eastAsia="仿宋"/>
          <w:b w:val="0"/>
          <w:bCs w:val="0"/>
          <w:color w:val="auto"/>
          <w:highlight w:val="none"/>
        </w:rPr>
        <w:t>四、</w:t>
      </w:r>
      <w:r>
        <w:rPr>
          <w:rFonts w:hint="eastAsia" w:ascii="仿宋" w:hAnsi="仿宋" w:eastAsia="仿宋"/>
          <w:b w:val="0"/>
          <w:color w:val="auto"/>
          <w:highlight w:val="none"/>
        </w:rPr>
        <w:t>财</w:t>
      </w:r>
      <w:r>
        <w:rPr>
          <w:rStyle w:val="27"/>
          <w:rFonts w:hint="eastAsia" w:ascii="仿宋" w:hAnsi="仿宋" w:eastAsia="仿宋"/>
          <w:b w:val="0"/>
          <w:bCs w:val="0"/>
          <w:color w:val="auto"/>
          <w:highlight w:val="none"/>
        </w:rPr>
        <w:t>政拨款收入支出决算总表</w:t>
      </w:r>
      <w:bookmarkEnd w:id="78"/>
      <w:bookmarkEnd w:id="79"/>
    </w:p>
    <w:p>
      <w:pPr>
        <w:pStyle w:val="5"/>
        <w:rPr>
          <w:rStyle w:val="27"/>
          <w:rFonts w:ascii="仿宋" w:hAnsi="仿宋" w:eastAsia="仿宋"/>
          <w:b w:val="0"/>
          <w:bCs w:val="0"/>
          <w:color w:val="auto"/>
          <w:highlight w:val="none"/>
        </w:rPr>
      </w:pPr>
      <w:bookmarkStart w:id="80" w:name="_Toc12799"/>
      <w:bookmarkStart w:id="81" w:name="_Toc15396623"/>
      <w:r>
        <w:rPr>
          <w:rStyle w:val="27"/>
          <w:rFonts w:hint="eastAsia" w:ascii="仿宋" w:hAnsi="仿宋" w:eastAsia="仿宋"/>
          <w:b w:val="0"/>
          <w:bCs w:val="0"/>
          <w:color w:val="auto"/>
          <w:highlight w:val="none"/>
        </w:rPr>
        <w:t>五、</w:t>
      </w:r>
      <w:r>
        <w:rPr>
          <w:rFonts w:hint="eastAsia" w:ascii="仿宋" w:hAnsi="仿宋" w:eastAsia="仿宋"/>
          <w:b w:val="0"/>
          <w:color w:val="auto"/>
          <w:highlight w:val="none"/>
        </w:rPr>
        <w:t>财</w:t>
      </w:r>
      <w:r>
        <w:rPr>
          <w:rStyle w:val="27"/>
          <w:rFonts w:hint="eastAsia" w:ascii="仿宋" w:hAnsi="仿宋" w:eastAsia="仿宋"/>
          <w:b w:val="0"/>
          <w:bCs w:val="0"/>
          <w:color w:val="auto"/>
          <w:highlight w:val="none"/>
        </w:rPr>
        <w:t>政拨款支出决算明细表</w:t>
      </w:r>
      <w:bookmarkEnd w:id="80"/>
      <w:bookmarkEnd w:id="81"/>
      <w:bookmarkStart w:id="82" w:name="_Toc15396624"/>
    </w:p>
    <w:p>
      <w:pPr>
        <w:pStyle w:val="5"/>
        <w:rPr>
          <w:rFonts w:ascii="仿宋" w:hAnsi="仿宋" w:eastAsia="仿宋"/>
          <w:color w:val="auto"/>
          <w:highlight w:val="none"/>
        </w:rPr>
      </w:pPr>
      <w:bookmarkStart w:id="83" w:name="_Toc225"/>
      <w:r>
        <w:rPr>
          <w:rStyle w:val="27"/>
          <w:rFonts w:hint="eastAsia" w:ascii="仿宋" w:hAnsi="仿宋" w:eastAsia="仿宋"/>
          <w:b w:val="0"/>
          <w:bCs w:val="0"/>
          <w:color w:val="auto"/>
          <w:highlight w:val="none"/>
        </w:rPr>
        <w:t>六、</w:t>
      </w:r>
      <w:r>
        <w:rPr>
          <w:rFonts w:hint="eastAsia" w:ascii="仿宋" w:hAnsi="仿宋" w:eastAsia="仿宋"/>
          <w:b w:val="0"/>
          <w:color w:val="auto"/>
          <w:highlight w:val="none"/>
        </w:rPr>
        <w:t>一</w:t>
      </w:r>
      <w:r>
        <w:rPr>
          <w:rStyle w:val="27"/>
          <w:rFonts w:hint="eastAsia" w:ascii="仿宋" w:hAnsi="仿宋" w:eastAsia="仿宋"/>
          <w:b w:val="0"/>
          <w:bCs w:val="0"/>
          <w:color w:val="auto"/>
          <w:highlight w:val="none"/>
        </w:rPr>
        <w:t>般公共预算财政拨款支出决算表</w:t>
      </w:r>
      <w:bookmarkEnd w:id="82"/>
      <w:bookmarkEnd w:id="83"/>
    </w:p>
    <w:p>
      <w:pPr>
        <w:pStyle w:val="5"/>
        <w:rPr>
          <w:rFonts w:ascii="仿宋" w:hAnsi="仿宋" w:eastAsia="仿宋"/>
          <w:color w:val="auto"/>
          <w:highlight w:val="none"/>
        </w:rPr>
      </w:pPr>
      <w:bookmarkStart w:id="84" w:name="_Toc2926"/>
      <w:bookmarkStart w:id="85" w:name="_Toc15396625"/>
      <w:r>
        <w:rPr>
          <w:rStyle w:val="27"/>
          <w:rFonts w:hint="eastAsia" w:ascii="仿宋" w:hAnsi="仿宋" w:eastAsia="仿宋"/>
          <w:b w:val="0"/>
          <w:bCs w:val="0"/>
          <w:color w:val="auto"/>
          <w:highlight w:val="none"/>
        </w:rPr>
        <w:t>七、</w:t>
      </w:r>
      <w:r>
        <w:rPr>
          <w:rFonts w:hint="eastAsia" w:ascii="仿宋" w:hAnsi="仿宋" w:eastAsia="仿宋"/>
          <w:b w:val="0"/>
          <w:color w:val="auto"/>
          <w:highlight w:val="none"/>
        </w:rPr>
        <w:t>一</w:t>
      </w:r>
      <w:r>
        <w:rPr>
          <w:rStyle w:val="27"/>
          <w:rFonts w:hint="eastAsia" w:ascii="仿宋" w:hAnsi="仿宋" w:eastAsia="仿宋"/>
          <w:b w:val="0"/>
          <w:bCs w:val="0"/>
          <w:color w:val="auto"/>
          <w:highlight w:val="none"/>
        </w:rPr>
        <w:t>般公共预算财政拨款支出决算明细表</w:t>
      </w:r>
      <w:bookmarkEnd w:id="84"/>
      <w:bookmarkEnd w:id="85"/>
    </w:p>
    <w:p>
      <w:pPr>
        <w:pStyle w:val="5"/>
        <w:rPr>
          <w:rFonts w:ascii="仿宋" w:hAnsi="仿宋" w:eastAsia="仿宋"/>
          <w:color w:val="auto"/>
          <w:highlight w:val="none"/>
        </w:rPr>
      </w:pPr>
      <w:bookmarkStart w:id="86" w:name="_Toc8669"/>
      <w:bookmarkStart w:id="87" w:name="_Toc15396626"/>
      <w:r>
        <w:rPr>
          <w:rStyle w:val="27"/>
          <w:rFonts w:hint="eastAsia" w:ascii="仿宋" w:hAnsi="仿宋" w:eastAsia="仿宋"/>
          <w:b w:val="0"/>
          <w:bCs w:val="0"/>
          <w:color w:val="auto"/>
          <w:highlight w:val="none"/>
        </w:rPr>
        <w:t>八、</w:t>
      </w:r>
      <w:r>
        <w:rPr>
          <w:rFonts w:hint="eastAsia" w:ascii="仿宋" w:hAnsi="仿宋" w:eastAsia="仿宋"/>
          <w:b w:val="0"/>
          <w:color w:val="auto"/>
          <w:highlight w:val="none"/>
        </w:rPr>
        <w:t>一</w:t>
      </w:r>
      <w:r>
        <w:rPr>
          <w:rStyle w:val="27"/>
          <w:rFonts w:hint="eastAsia" w:ascii="仿宋" w:hAnsi="仿宋" w:eastAsia="仿宋"/>
          <w:b w:val="0"/>
          <w:bCs w:val="0"/>
          <w:color w:val="auto"/>
          <w:highlight w:val="none"/>
        </w:rPr>
        <w:t>般公共预算财政拨款基本支出决算表</w:t>
      </w:r>
      <w:bookmarkEnd w:id="86"/>
      <w:bookmarkEnd w:id="87"/>
    </w:p>
    <w:p>
      <w:pPr>
        <w:pStyle w:val="5"/>
        <w:rPr>
          <w:rFonts w:ascii="仿宋" w:hAnsi="仿宋" w:eastAsia="仿宋"/>
          <w:color w:val="auto"/>
          <w:highlight w:val="none"/>
        </w:rPr>
      </w:pPr>
      <w:bookmarkStart w:id="88" w:name="_Toc15396627"/>
      <w:bookmarkStart w:id="89" w:name="_Toc10557"/>
      <w:r>
        <w:rPr>
          <w:rStyle w:val="27"/>
          <w:rFonts w:hint="eastAsia" w:ascii="仿宋" w:hAnsi="仿宋" w:eastAsia="仿宋"/>
          <w:b w:val="0"/>
          <w:bCs w:val="0"/>
          <w:color w:val="auto"/>
          <w:highlight w:val="none"/>
        </w:rPr>
        <w:t>九、</w:t>
      </w:r>
      <w:r>
        <w:rPr>
          <w:rFonts w:hint="eastAsia" w:ascii="仿宋" w:hAnsi="仿宋" w:eastAsia="仿宋"/>
          <w:b w:val="0"/>
          <w:color w:val="auto"/>
          <w:highlight w:val="none"/>
        </w:rPr>
        <w:t>一</w:t>
      </w:r>
      <w:r>
        <w:rPr>
          <w:rStyle w:val="27"/>
          <w:rFonts w:hint="eastAsia" w:ascii="仿宋" w:hAnsi="仿宋" w:eastAsia="仿宋"/>
          <w:b w:val="0"/>
          <w:bCs w:val="0"/>
          <w:color w:val="auto"/>
          <w:highlight w:val="none"/>
        </w:rPr>
        <w:t>般公共预算财政拨款项目支出决算表</w:t>
      </w:r>
      <w:bookmarkEnd w:id="88"/>
      <w:bookmarkEnd w:id="89"/>
    </w:p>
    <w:p>
      <w:pPr>
        <w:pStyle w:val="5"/>
        <w:rPr>
          <w:rFonts w:ascii="仿宋" w:hAnsi="仿宋" w:eastAsia="仿宋"/>
          <w:color w:val="auto"/>
          <w:highlight w:val="none"/>
        </w:rPr>
      </w:pPr>
      <w:bookmarkStart w:id="90" w:name="_Toc15396628"/>
      <w:bookmarkStart w:id="91" w:name="_Toc11335"/>
      <w:r>
        <w:rPr>
          <w:rStyle w:val="27"/>
          <w:rFonts w:hint="eastAsia" w:ascii="仿宋" w:hAnsi="仿宋" w:eastAsia="仿宋"/>
          <w:b w:val="0"/>
          <w:bCs w:val="0"/>
          <w:color w:val="auto"/>
          <w:highlight w:val="none"/>
        </w:rPr>
        <w:t>十、</w:t>
      </w:r>
      <w:bookmarkEnd w:id="90"/>
      <w:r>
        <w:rPr>
          <w:rFonts w:hint="eastAsia" w:ascii="仿宋" w:hAnsi="仿宋" w:eastAsia="仿宋"/>
          <w:b w:val="0"/>
          <w:color w:val="auto"/>
          <w:highlight w:val="none"/>
        </w:rPr>
        <w:t>政</w:t>
      </w:r>
      <w:r>
        <w:rPr>
          <w:rStyle w:val="27"/>
          <w:rFonts w:hint="eastAsia" w:ascii="仿宋" w:hAnsi="仿宋" w:eastAsia="仿宋"/>
          <w:b w:val="0"/>
          <w:bCs w:val="0"/>
          <w:color w:val="auto"/>
          <w:highlight w:val="none"/>
        </w:rPr>
        <w:t>府性基金预算财政拨款收入支出决算表</w:t>
      </w:r>
      <w:bookmarkEnd w:id="91"/>
    </w:p>
    <w:p>
      <w:pPr>
        <w:pStyle w:val="5"/>
        <w:rPr>
          <w:rFonts w:ascii="仿宋" w:hAnsi="仿宋" w:eastAsia="仿宋"/>
          <w:color w:val="auto"/>
          <w:highlight w:val="none"/>
        </w:rPr>
      </w:pPr>
      <w:bookmarkStart w:id="92" w:name="_Toc15396629"/>
      <w:bookmarkStart w:id="93" w:name="_Toc11290"/>
      <w:r>
        <w:rPr>
          <w:rStyle w:val="27"/>
          <w:rFonts w:hint="eastAsia" w:ascii="仿宋" w:hAnsi="仿宋" w:eastAsia="仿宋"/>
          <w:b w:val="0"/>
          <w:bCs w:val="0"/>
          <w:color w:val="auto"/>
          <w:highlight w:val="none"/>
        </w:rPr>
        <w:t>十一、</w:t>
      </w:r>
      <w:bookmarkEnd w:id="92"/>
      <w:r>
        <w:rPr>
          <w:rFonts w:hint="eastAsia" w:ascii="仿宋" w:hAnsi="仿宋" w:eastAsia="仿宋"/>
          <w:b w:val="0"/>
          <w:color w:val="auto"/>
          <w:highlight w:val="none"/>
        </w:rPr>
        <w:t>国</w:t>
      </w:r>
      <w:r>
        <w:rPr>
          <w:rStyle w:val="27"/>
          <w:rFonts w:hint="eastAsia" w:ascii="仿宋" w:hAnsi="仿宋" w:eastAsia="仿宋"/>
          <w:b w:val="0"/>
          <w:bCs w:val="0"/>
          <w:color w:val="auto"/>
          <w:highlight w:val="none"/>
        </w:rPr>
        <w:t>有资本经营预算</w:t>
      </w:r>
      <w:r>
        <w:rPr>
          <w:rStyle w:val="27"/>
          <w:rFonts w:hint="eastAsia" w:ascii="仿宋" w:hAnsi="仿宋" w:eastAsia="仿宋"/>
          <w:b w:val="0"/>
          <w:bCs w:val="0"/>
          <w:color w:val="auto"/>
          <w:highlight w:val="none"/>
          <w:lang w:eastAsia="zh-CN"/>
        </w:rPr>
        <w:t>财政拨款收入</w:t>
      </w:r>
      <w:r>
        <w:rPr>
          <w:rStyle w:val="27"/>
          <w:rFonts w:hint="eastAsia" w:ascii="仿宋" w:hAnsi="仿宋" w:eastAsia="仿宋"/>
          <w:b w:val="0"/>
          <w:bCs w:val="0"/>
          <w:color w:val="auto"/>
          <w:highlight w:val="none"/>
        </w:rPr>
        <w:t>支出决算表</w:t>
      </w:r>
      <w:bookmarkEnd w:id="93"/>
    </w:p>
    <w:p>
      <w:pPr>
        <w:pStyle w:val="5"/>
        <w:rPr>
          <w:rFonts w:ascii="仿宋" w:hAnsi="仿宋" w:eastAsia="仿宋"/>
          <w:color w:val="auto"/>
          <w:highlight w:val="none"/>
        </w:rPr>
      </w:pPr>
      <w:bookmarkStart w:id="94" w:name="_Toc15396630"/>
      <w:bookmarkStart w:id="95" w:name="_Toc21629"/>
      <w:r>
        <w:rPr>
          <w:rStyle w:val="27"/>
          <w:rFonts w:hint="eastAsia" w:ascii="仿宋" w:hAnsi="仿宋" w:eastAsia="仿宋"/>
          <w:b w:val="0"/>
          <w:bCs w:val="0"/>
          <w:color w:val="auto"/>
          <w:highlight w:val="none"/>
        </w:rPr>
        <w:t>十二、</w:t>
      </w:r>
      <w:bookmarkEnd w:id="94"/>
      <w:r>
        <w:rPr>
          <w:rStyle w:val="27"/>
          <w:rFonts w:hint="eastAsia" w:ascii="仿宋" w:hAnsi="仿宋" w:eastAsia="仿宋"/>
          <w:b w:val="0"/>
          <w:bCs w:val="0"/>
          <w:color w:val="auto"/>
          <w:highlight w:val="none"/>
          <w:lang w:eastAsia="zh-CN"/>
        </w:rPr>
        <w:t>国有资本经营预算财政拨款支出决算表</w:t>
      </w:r>
      <w:bookmarkEnd w:id="95"/>
    </w:p>
    <w:p>
      <w:pPr>
        <w:pStyle w:val="5"/>
        <w:rPr>
          <w:rFonts w:hint="eastAsia" w:eastAsia="仿宋"/>
          <w:color w:val="auto"/>
          <w:highlight w:val="none"/>
          <w:lang w:eastAsia="zh-CN"/>
        </w:rPr>
      </w:pPr>
      <w:bookmarkStart w:id="96" w:name="_Toc15396631"/>
      <w:bookmarkStart w:id="97" w:name="_Toc23469"/>
      <w:r>
        <w:rPr>
          <w:rStyle w:val="27"/>
          <w:rFonts w:hint="eastAsia" w:ascii="仿宋" w:hAnsi="仿宋" w:eastAsia="仿宋"/>
          <w:b w:val="0"/>
          <w:bCs w:val="0"/>
          <w:color w:val="auto"/>
          <w:highlight w:val="none"/>
        </w:rPr>
        <w:t>十三、</w:t>
      </w:r>
      <w:bookmarkEnd w:id="96"/>
      <w:r>
        <w:rPr>
          <w:rStyle w:val="27"/>
          <w:rFonts w:hint="eastAsia" w:ascii="仿宋" w:hAnsi="仿宋" w:eastAsia="仿宋"/>
          <w:b w:val="0"/>
          <w:bCs w:val="0"/>
          <w:color w:val="auto"/>
          <w:highlight w:val="none"/>
          <w:lang w:eastAsia="zh-CN"/>
        </w:rPr>
        <w:t>财政拨款“三公”经费支出决算表</w:t>
      </w:r>
      <w:bookmarkEnd w:id="97"/>
    </w:p>
    <w:sectPr>
      <w:pgSz w:w="11906" w:h="16838"/>
      <w:pgMar w:top="1440" w:right="1800" w:bottom="1440" w:left="180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A00002EF" w:usb1="4000004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
                          </w:sdtPr>
                          <w:sdtContent>
                            <w:p>
                              <w:pPr>
                                <w:pStyle w:val="9"/>
                                <w:jc w:val="center"/>
                              </w:pPr>
                              <w:r>
                                <w:fldChar w:fldCharType="begin"/>
                              </w:r>
                              <w:r>
                                <w:instrText xml:space="preserve">PAGE   \* MERGEFORMAT</w:instrText>
                              </w:r>
                              <w:r>
                                <w:fldChar w:fldCharType="separate"/>
                              </w:r>
                              <w:r>
                                <w:rPr>
                                  <w:lang w:val="zh-CN"/>
                                </w:rPr>
                                <w:t>8</w:t>
                              </w:r>
                              <w:r>
                                <w:fldChar w:fldCharType="end"/>
                              </w:r>
                            </w:p>
                          </w:sdtContent>
                        </w:sdt>
                        <w:p>
                          <w:pPr>
                            <w:pStyle w:val="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sdt>
                    <w:sdtPr>
                      <w:id w:val="-1"/>
                    </w:sdtPr>
                    <w:sdtContent>
                      <w:p>
                        <w:pPr>
                          <w:pStyle w:val="9"/>
                          <w:jc w:val="center"/>
                        </w:pPr>
                        <w:r>
                          <w:fldChar w:fldCharType="begin"/>
                        </w:r>
                        <w:r>
                          <w:instrText xml:space="preserve">PAGE   \* MERGEFORMAT</w:instrText>
                        </w:r>
                        <w:r>
                          <w:fldChar w:fldCharType="separate"/>
                        </w:r>
                        <w:r>
                          <w:rPr>
                            <w:lang w:val="zh-CN"/>
                          </w:rPr>
                          <w:t>8</w:t>
                        </w:r>
                        <w:r>
                          <w:fldChar w:fldCharType="end"/>
                        </w:r>
                      </w:p>
                    </w:sdtContent>
                  </w:sdt>
                  <w:p>
                    <w:pPr>
                      <w:pStyle w:val="2"/>
                    </w:pPr>
                  </w:p>
                </w:txbxContent>
              </v:textbox>
            </v:shape>
          </w:pict>
        </mc:Fallback>
      </mc:AlternateContent>
    </w:r>
  </w:p>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3818A09A"/>
    <w:multiLevelType w:val="singleLevel"/>
    <w:tmpl w:val="3818A09A"/>
    <w:lvl w:ilvl="0" w:tentative="0">
      <w:start w:val="1"/>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ExNTE4ZjZiNDZiYzkzMWMwZDFlYjlhYjViMTA4MGY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423F24"/>
    <w:rsid w:val="03BB7FBE"/>
    <w:rsid w:val="04EC797F"/>
    <w:rsid w:val="053A62B5"/>
    <w:rsid w:val="0A2032A3"/>
    <w:rsid w:val="0A320F33"/>
    <w:rsid w:val="0B8A37D8"/>
    <w:rsid w:val="0CE02843"/>
    <w:rsid w:val="10120F66"/>
    <w:rsid w:val="10C055FF"/>
    <w:rsid w:val="10DB3A4D"/>
    <w:rsid w:val="118107EC"/>
    <w:rsid w:val="11DD6519"/>
    <w:rsid w:val="13A13340"/>
    <w:rsid w:val="148F7D67"/>
    <w:rsid w:val="16BB723D"/>
    <w:rsid w:val="16D231FD"/>
    <w:rsid w:val="18015F3F"/>
    <w:rsid w:val="1BE8440E"/>
    <w:rsid w:val="1D155CEE"/>
    <w:rsid w:val="1E543408"/>
    <w:rsid w:val="20F57F95"/>
    <w:rsid w:val="21890080"/>
    <w:rsid w:val="21FC1A76"/>
    <w:rsid w:val="22E609D3"/>
    <w:rsid w:val="240371BF"/>
    <w:rsid w:val="25711CC6"/>
    <w:rsid w:val="25C741E6"/>
    <w:rsid w:val="270F3FF9"/>
    <w:rsid w:val="27842671"/>
    <w:rsid w:val="27F136FF"/>
    <w:rsid w:val="294E4079"/>
    <w:rsid w:val="29B50E88"/>
    <w:rsid w:val="29FD04D3"/>
    <w:rsid w:val="2ABE7A3E"/>
    <w:rsid w:val="2CA234A8"/>
    <w:rsid w:val="2EFA178C"/>
    <w:rsid w:val="30B46D73"/>
    <w:rsid w:val="319F7F4E"/>
    <w:rsid w:val="3687188D"/>
    <w:rsid w:val="383D272C"/>
    <w:rsid w:val="38FE7A29"/>
    <w:rsid w:val="39AE70AB"/>
    <w:rsid w:val="3B492FEF"/>
    <w:rsid w:val="3C0C0783"/>
    <w:rsid w:val="3C6424D1"/>
    <w:rsid w:val="3E103D82"/>
    <w:rsid w:val="3F9F3A96"/>
    <w:rsid w:val="41085755"/>
    <w:rsid w:val="429E28B7"/>
    <w:rsid w:val="44246EDE"/>
    <w:rsid w:val="44DC23E0"/>
    <w:rsid w:val="45AC718B"/>
    <w:rsid w:val="48BF60AB"/>
    <w:rsid w:val="493C27E9"/>
    <w:rsid w:val="496F39ED"/>
    <w:rsid w:val="49FF41D3"/>
    <w:rsid w:val="4B101F6A"/>
    <w:rsid w:val="4BE068DB"/>
    <w:rsid w:val="4BF6002B"/>
    <w:rsid w:val="4CD40D75"/>
    <w:rsid w:val="4ECE2238"/>
    <w:rsid w:val="4EFAB164"/>
    <w:rsid w:val="51DB4B86"/>
    <w:rsid w:val="52497B10"/>
    <w:rsid w:val="54574766"/>
    <w:rsid w:val="55333C3E"/>
    <w:rsid w:val="56002BDB"/>
    <w:rsid w:val="56311ACE"/>
    <w:rsid w:val="575651A9"/>
    <w:rsid w:val="577218B7"/>
    <w:rsid w:val="57A61628"/>
    <w:rsid w:val="5C603ED6"/>
    <w:rsid w:val="5F000A91"/>
    <w:rsid w:val="5F2D4A41"/>
    <w:rsid w:val="608B7265"/>
    <w:rsid w:val="636B355E"/>
    <w:rsid w:val="64CA39A1"/>
    <w:rsid w:val="66493BA6"/>
    <w:rsid w:val="678C238A"/>
    <w:rsid w:val="69630ADE"/>
    <w:rsid w:val="6A4E7F61"/>
    <w:rsid w:val="6A813E93"/>
    <w:rsid w:val="6C1F5711"/>
    <w:rsid w:val="6C4A05C8"/>
    <w:rsid w:val="6D3B1A89"/>
    <w:rsid w:val="6F944032"/>
    <w:rsid w:val="70333E81"/>
    <w:rsid w:val="70950B3D"/>
    <w:rsid w:val="71BF4EC2"/>
    <w:rsid w:val="726C5429"/>
    <w:rsid w:val="72734D90"/>
    <w:rsid w:val="7412278C"/>
    <w:rsid w:val="760C25E7"/>
    <w:rsid w:val="77F44ADD"/>
    <w:rsid w:val="782A385C"/>
    <w:rsid w:val="78EA354B"/>
    <w:rsid w:val="7904082E"/>
    <w:rsid w:val="79E7B28D"/>
    <w:rsid w:val="7B494559"/>
    <w:rsid w:val="7BFD45F0"/>
    <w:rsid w:val="7CD96A14"/>
    <w:rsid w:val="7F871D6A"/>
    <w:rsid w:val="7F9F20EE"/>
    <w:rsid w:val="9E3A10E2"/>
    <w:rsid w:val="9F4F2F73"/>
    <w:rsid w:val="D7F7AF75"/>
    <w:rsid w:val="DEF8C9FC"/>
    <w:rsid w:val="DFBD4EBC"/>
    <w:rsid w:val="F2E1F9D4"/>
    <w:rsid w:val="F788081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qFormat="1" w:unhideWhenUsed="0" w:uiPriority="0" w:semiHidden="0"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26"/>
    <w:qFormat/>
    <w:uiPriority w:val="9"/>
    <w:pPr>
      <w:keepNext/>
      <w:keepLines/>
      <w:spacing w:before="340" w:after="330" w:line="578" w:lineRule="auto"/>
      <w:outlineLvl w:val="0"/>
    </w:pPr>
    <w:rPr>
      <w:b/>
      <w:bCs/>
      <w:kern w:val="44"/>
      <w:sz w:val="44"/>
      <w:szCs w:val="44"/>
    </w:rPr>
  </w:style>
  <w:style w:type="paragraph" w:styleId="5">
    <w:name w:val="heading 2"/>
    <w:basedOn w:val="1"/>
    <w:next w:val="1"/>
    <w:link w:val="27"/>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6">
    <w:name w:val="heading 3"/>
    <w:basedOn w:val="1"/>
    <w:next w:val="1"/>
    <w:link w:val="30"/>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23"/>
    <w:qFormat/>
    <w:uiPriority w:val="99"/>
    <w:pPr>
      <w:spacing w:beforeLines="30"/>
    </w:pPr>
    <w:rPr>
      <w:rFonts w:ascii="仿宋_GB2312" w:eastAsia="仿宋_GB2312"/>
      <w:kern w:val="0"/>
      <w:sz w:val="30"/>
    </w:rPr>
  </w:style>
  <w:style w:type="paragraph" w:styleId="3">
    <w:name w:val="index 8"/>
    <w:basedOn w:val="1"/>
    <w:next w:val="1"/>
    <w:qFormat/>
    <w:uiPriority w:val="0"/>
    <w:pPr>
      <w:ind w:left="2940"/>
    </w:pPr>
  </w:style>
  <w:style w:type="paragraph" w:styleId="7">
    <w:name w:val="toc 3"/>
    <w:basedOn w:val="1"/>
    <w:next w:val="1"/>
    <w:unhideWhenUsed/>
    <w:qFormat/>
    <w:uiPriority w:val="39"/>
    <w:pPr>
      <w:tabs>
        <w:tab w:val="right" w:leader="dot" w:pos="8296"/>
      </w:tabs>
      <w:ind w:left="840" w:leftChars="400"/>
    </w:pPr>
  </w:style>
  <w:style w:type="paragraph" w:styleId="8">
    <w:name w:val="Balloon Text"/>
    <w:basedOn w:val="1"/>
    <w:link w:val="29"/>
    <w:semiHidden/>
    <w:unhideWhenUsed/>
    <w:qFormat/>
    <w:uiPriority w:val="99"/>
    <w:rPr>
      <w:sz w:val="18"/>
      <w:szCs w:val="18"/>
    </w:rPr>
  </w:style>
  <w:style w:type="paragraph" w:styleId="9">
    <w:name w:val="footer"/>
    <w:basedOn w:val="1"/>
    <w:link w:val="21"/>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19"/>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paragraph" w:styleId="13">
    <w:name w:val="Normal (Web)"/>
    <w:basedOn w:val="1"/>
    <w:qFormat/>
    <w:uiPriority w:val="0"/>
    <w:pPr>
      <w:widowControl/>
      <w:spacing w:before="100" w:beforeAutospacing="1" w:after="100" w:afterAutospacing="1"/>
      <w:jc w:val="left"/>
    </w:pPr>
    <w:rPr>
      <w:rFonts w:ascii="宋体" w:cs="宋体"/>
      <w:kern w:val="0"/>
      <w:sz w:val="24"/>
    </w:rPr>
  </w:style>
  <w:style w:type="character" w:styleId="16">
    <w:name w:val="Strong"/>
    <w:basedOn w:val="15"/>
    <w:qFormat/>
    <w:uiPriority w:val="99"/>
    <w:rPr>
      <w:b/>
    </w:rPr>
  </w:style>
  <w:style w:type="character" w:styleId="17">
    <w:name w:val="Hyperlink"/>
    <w:basedOn w:val="15"/>
    <w:unhideWhenUsed/>
    <w:qFormat/>
    <w:uiPriority w:val="99"/>
    <w:rPr>
      <w:color w:val="0000FF" w:themeColor="hyperlink"/>
      <w:u w:val="single"/>
      <w14:textFill>
        <w14:solidFill>
          <w14:schemeClr w14:val="hlink"/>
        </w14:solidFill>
      </w14:textFill>
    </w:rPr>
  </w:style>
  <w:style w:type="character" w:customStyle="1" w:styleId="18">
    <w:name w:val="Header Char"/>
    <w:basedOn w:val="15"/>
    <w:semiHidden/>
    <w:qFormat/>
    <w:uiPriority w:val="99"/>
    <w:rPr>
      <w:rFonts w:ascii="Times New Roman" w:hAnsi="Times New Roman"/>
      <w:sz w:val="18"/>
      <w:szCs w:val="18"/>
    </w:rPr>
  </w:style>
  <w:style w:type="character" w:customStyle="1" w:styleId="19">
    <w:name w:val="页眉 Char"/>
    <w:link w:val="10"/>
    <w:semiHidden/>
    <w:qFormat/>
    <w:locked/>
    <w:uiPriority w:val="99"/>
    <w:rPr>
      <w:sz w:val="18"/>
    </w:rPr>
  </w:style>
  <w:style w:type="character" w:customStyle="1" w:styleId="20">
    <w:name w:val="Footer Char"/>
    <w:basedOn w:val="15"/>
    <w:semiHidden/>
    <w:qFormat/>
    <w:uiPriority w:val="99"/>
    <w:rPr>
      <w:rFonts w:ascii="Times New Roman" w:hAnsi="Times New Roman"/>
      <w:sz w:val="18"/>
      <w:szCs w:val="18"/>
    </w:rPr>
  </w:style>
  <w:style w:type="character" w:customStyle="1" w:styleId="21">
    <w:name w:val="页脚 Char"/>
    <w:link w:val="9"/>
    <w:qFormat/>
    <w:locked/>
    <w:uiPriority w:val="99"/>
    <w:rPr>
      <w:sz w:val="18"/>
    </w:rPr>
  </w:style>
  <w:style w:type="character" w:customStyle="1" w:styleId="22">
    <w:name w:val="Body Text Char"/>
    <w:basedOn w:val="15"/>
    <w:semiHidden/>
    <w:qFormat/>
    <w:uiPriority w:val="99"/>
    <w:rPr>
      <w:rFonts w:ascii="Times New Roman" w:hAnsi="Times New Roman"/>
      <w:szCs w:val="24"/>
    </w:rPr>
  </w:style>
  <w:style w:type="character" w:customStyle="1" w:styleId="23">
    <w:name w:val="正文文本 Char"/>
    <w:link w:val="2"/>
    <w:qFormat/>
    <w:locked/>
    <w:uiPriority w:val="99"/>
    <w:rPr>
      <w:rFonts w:ascii="仿宋_GB2312" w:hAnsi="Times New Roman" w:eastAsia="仿宋_GB2312"/>
      <w:sz w:val="24"/>
    </w:rPr>
  </w:style>
  <w:style w:type="paragraph" w:customStyle="1" w:styleId="24">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5">
    <w:name w:val="List Paragraph"/>
    <w:basedOn w:val="1"/>
    <w:qFormat/>
    <w:uiPriority w:val="34"/>
    <w:pPr>
      <w:ind w:firstLine="420" w:firstLineChars="200"/>
    </w:pPr>
  </w:style>
  <w:style w:type="character" w:customStyle="1" w:styleId="26">
    <w:name w:val="标题 1 Char"/>
    <w:basedOn w:val="15"/>
    <w:link w:val="4"/>
    <w:qFormat/>
    <w:uiPriority w:val="9"/>
    <w:rPr>
      <w:rFonts w:ascii="Times New Roman" w:hAnsi="Times New Roman"/>
      <w:b/>
      <w:bCs/>
      <w:kern w:val="44"/>
      <w:sz w:val="44"/>
      <w:szCs w:val="44"/>
    </w:rPr>
  </w:style>
  <w:style w:type="character" w:customStyle="1" w:styleId="27">
    <w:name w:val="标题 2 Char"/>
    <w:basedOn w:val="15"/>
    <w:link w:val="5"/>
    <w:qFormat/>
    <w:uiPriority w:val="9"/>
    <w:rPr>
      <w:rFonts w:asciiTheme="majorHAnsi" w:hAnsiTheme="majorHAnsi" w:eastAsiaTheme="majorEastAsia" w:cstheme="majorBidi"/>
      <w:b/>
      <w:bCs/>
      <w:kern w:val="2"/>
      <w:sz w:val="32"/>
      <w:szCs w:val="32"/>
    </w:rPr>
  </w:style>
  <w:style w:type="paragraph" w:customStyle="1" w:styleId="28">
    <w:name w:val="TOC 标题1"/>
    <w:basedOn w:val="4"/>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9">
    <w:name w:val="批注框文本 Char"/>
    <w:basedOn w:val="15"/>
    <w:link w:val="8"/>
    <w:semiHidden/>
    <w:qFormat/>
    <w:uiPriority w:val="99"/>
    <w:rPr>
      <w:rFonts w:ascii="Times New Roman" w:hAnsi="Times New Roman"/>
      <w:kern w:val="2"/>
      <w:sz w:val="18"/>
      <w:szCs w:val="18"/>
    </w:rPr>
  </w:style>
  <w:style w:type="character" w:customStyle="1" w:styleId="30">
    <w:name w:val="标题 3 Char"/>
    <w:basedOn w:val="15"/>
    <w:link w:val="6"/>
    <w:qFormat/>
    <w:uiPriority w:val="9"/>
    <w:rPr>
      <w:rFonts w:ascii="Times New Roman" w:hAnsi="Times New Roman"/>
      <w:b/>
      <w:bCs/>
      <w:kern w:val="2"/>
      <w:sz w:val="32"/>
      <w:szCs w:val="32"/>
    </w:rPr>
  </w:style>
  <w:style w:type="paragraph" w:customStyle="1" w:styleId="31">
    <w:name w:val="TOC Heading"/>
    <w:basedOn w:val="4"/>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2">
    <w:name w:val="font51"/>
    <w:basedOn w:val="15"/>
    <w:qFormat/>
    <w:uiPriority w:val="0"/>
    <w:rPr>
      <w:rFonts w:hint="eastAsia" w:ascii="宋体" w:hAnsi="宋体" w:eastAsia="宋体" w:cs="宋体"/>
      <w:color w:val="000000"/>
      <w:sz w:val="18"/>
      <w:szCs w:val="18"/>
      <w:u w:val="none"/>
    </w:rPr>
  </w:style>
  <w:style w:type="paragraph" w:customStyle="1" w:styleId="33">
    <w:name w:val="WPSOffice手动目录 1"/>
    <w:qFormat/>
    <w:uiPriority w:val="0"/>
    <w:pPr>
      <w:ind w:leftChars="0"/>
    </w:pPr>
    <w:rPr>
      <w:rFonts w:ascii="Times New Roman" w:hAnsi="Times New Roman" w:eastAsia="宋体" w:cs="Times New Roman"/>
      <w:sz w:val="20"/>
      <w:szCs w:val="20"/>
    </w:rPr>
  </w:style>
  <w:style w:type="paragraph" w:customStyle="1" w:styleId="34">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chart" Target="charts/chart3.xml"/><Relationship Id="rId8" Type="http://schemas.openxmlformats.org/officeDocument/2006/relationships/chart" Target="charts/chart2.xml"/><Relationship Id="rId7" Type="http://schemas.openxmlformats.org/officeDocument/2006/relationships/chart" Target="charts/chart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chart" Target="charts/chart6.xml"/><Relationship Id="rId12" Type="http://schemas.openxmlformats.org/officeDocument/2006/relationships/image" Target="media/image1.png"/><Relationship Id="rId11" Type="http://schemas.openxmlformats.org/officeDocument/2006/relationships/chart" Target="charts/chart5.xml"/><Relationship Id="rId10" Type="http://schemas.openxmlformats.org/officeDocument/2006/relationships/chart" Target="charts/chart4.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package" Target="../embeddings/Workbook6.xlsx"/></Relationships>
</file>

<file path=word/charts/_rels/chart3.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Workbook5.xlsx"/></Relationships>
</file>

<file path=word/charts/_rels/chart4.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_rels/chart5.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4.xlsx"/></Relationships>
</file>

<file path=word/charts/_rels/chart6.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650640251268422"/>
          <c:y val="0.046748831279218"/>
          <c:w val="0.908359507127325"/>
          <c:h val="0.865363365915852"/>
        </c:manualLayout>
      </c:layout>
      <c:barChart>
        <c:barDir val="col"/>
        <c:grouping val="clustered"/>
        <c:varyColors val="0"/>
        <c:ser>
          <c:idx val="0"/>
          <c:order val="0"/>
          <c:tx>
            <c:strRef>
              <c:f>Sheet1!#REF!</c:f>
              <c:strCache>
                <c:ptCount val="1"/>
                <c:pt idx="0">
                  <c:v/>
                </c:pt>
              </c:strCache>
            </c:strRef>
          </c:tx>
          <c:spPr>
            <a:solidFill>
              <a:schemeClr val="accent1"/>
            </a:solidFill>
            <a:ln>
              <a:noFill/>
            </a:ln>
            <a:effectLst/>
          </c:spPr>
          <c:invertIfNegative val="0"/>
          <c:dLbls>
            <c:delete val="1"/>
          </c:dLbls>
          <c:cat>
            <c:strRef>
              <c:f>Sheet1!$A$2:$A$3</c:f>
              <c:strCache>
                <c:ptCount val="2"/>
                <c:pt idx="0">
                  <c:v>2021年收、支总计</c:v>
                </c:pt>
                <c:pt idx="1">
                  <c:v>2022年收、支总计</c:v>
                </c:pt>
              </c:strCache>
            </c:strRef>
          </c:cat>
          <c:val>
            <c:numRef>
              <c:f>Sheet1!#REF!</c:f>
              <c:numCache>
                <c:formatCode>General</c:formatCode>
                <c:ptCount val="1"/>
                <c:pt idx="0">
                  <c:v>1</c:v>
                </c:pt>
              </c:numCache>
            </c:numRef>
          </c:val>
        </c:ser>
        <c:ser>
          <c:idx val="1"/>
          <c:order val="1"/>
          <c:tx>
            <c:strRef>
              <c:f>Sheet1!$B$1</c:f>
              <c:strCache>
                <c:ptCount val="1"/>
                <c:pt idx="0">
                  <c:v>系列 2</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2021年收、支总计</c:v>
                </c:pt>
                <c:pt idx="1">
                  <c:v>2022年收、支总计</c:v>
                </c:pt>
              </c:strCache>
            </c:strRef>
          </c:cat>
          <c:val>
            <c:numRef>
              <c:f>Sheet1!$B$2:$B$3</c:f>
              <c:numCache>
                <c:formatCode>General</c:formatCode>
                <c:ptCount val="2"/>
                <c:pt idx="0">
                  <c:v>450.31</c:v>
                </c:pt>
                <c:pt idx="1">
                  <c:v>472.28</c:v>
                </c:pt>
              </c:numCache>
            </c:numRef>
          </c:val>
        </c:ser>
        <c:ser>
          <c:idx val="2"/>
          <c:order val="2"/>
          <c:tx>
            <c:strRef>
              <c:f>Sheet1!#REF!</c:f>
              <c:strCache>
                <c:ptCount val="1"/>
                <c:pt idx="0">
                  <c:v/>
                </c:pt>
              </c:strCache>
            </c:strRef>
          </c:tx>
          <c:spPr>
            <a:solidFill>
              <a:schemeClr val="accent3"/>
            </a:solidFill>
            <a:ln>
              <a:noFill/>
            </a:ln>
            <a:effectLst/>
          </c:spPr>
          <c:invertIfNegative val="0"/>
          <c:dLbls>
            <c:delete val="1"/>
          </c:dLbls>
          <c:cat>
            <c:strRef>
              <c:f>Sheet1!$A$2:$A$3</c:f>
              <c:strCache>
                <c:ptCount val="2"/>
                <c:pt idx="0">
                  <c:v>2021年收、支总计</c:v>
                </c:pt>
                <c:pt idx="1">
                  <c:v>2022年收、支总计</c:v>
                </c:pt>
              </c:strCache>
            </c:strRef>
          </c:cat>
          <c:val>
            <c:numRef>
              <c:f>Sheet1!#REF!</c:f>
              <c:numCache>
                <c:formatCode>General</c:formatCode>
                <c:ptCount val="1"/>
                <c:pt idx="0">
                  <c:v>1</c:v>
                </c:pt>
              </c:numCache>
            </c:numRef>
          </c:val>
        </c:ser>
        <c:dLbls>
          <c:showLegendKey val="0"/>
          <c:showVal val="1"/>
          <c:showCatName val="0"/>
          <c:showSerName val="0"/>
          <c:showPercent val="0"/>
          <c:showBubbleSize val="0"/>
        </c:dLbls>
        <c:gapWidth val="246"/>
        <c:overlap val="-28"/>
        <c:axId val="649160180"/>
        <c:axId val="38442952"/>
      </c:barChart>
      <c:catAx>
        <c:axId val="649160180"/>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8442952"/>
        <c:crosses val="autoZero"/>
        <c:auto val="1"/>
        <c:lblAlgn val="ctr"/>
        <c:lblOffset val="100"/>
        <c:noMultiLvlLbl val="0"/>
      </c:catAx>
      <c:valAx>
        <c:axId val="38442952"/>
        <c:scaling>
          <c:orientation val="minMax"/>
        </c:scaling>
        <c:delete val="0"/>
        <c:axPos val="l"/>
        <c:majorGridlines>
          <c:spPr>
            <a:ln w="9525" cap="flat" cmpd="sng" algn="ctr">
              <a:solidFill>
                <a:schemeClr val="bg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4916018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dk1">
                  <a:lumMod val="75000"/>
                  <a:lumOff val="25000"/>
                </a:schemeClr>
              </a:solidFill>
              <a:latin typeface="+mn-lt"/>
              <a:ea typeface="+mn-ea"/>
              <a:cs typeface="+mn-cs"/>
            </a:defRPr>
          </a:pPr>
        </a:p>
      </c:txPr>
    </c:title>
    <c:autoTitleDeleted val="0"/>
    <c:plotArea>
      <c:layout/>
      <c:pieChart>
        <c:varyColors val="1"/>
        <c:ser>
          <c:idx val="0"/>
          <c:order val="0"/>
          <c:tx>
            <c:strRef>
              <c:f>Sheet1!$B$1</c:f>
              <c:strCache>
                <c:ptCount val="1"/>
                <c:pt idx="0">
                  <c:v>2022年收入合计</c:v>
                </c:pt>
              </c:strCache>
            </c:strRef>
          </c:tx>
          <c:spPr/>
          <c:explosion val="0"/>
          <c:dPt>
            <c:idx val="0"/>
            <c:bubble3D val="0"/>
            <c:spPr>
              <a:solidFill>
                <a:schemeClr val="accent1"/>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2022年一般公共预算财政拨款收入</c:v>
                </c:pt>
              </c:strCache>
            </c:strRef>
          </c:cat>
          <c:val>
            <c:numRef>
              <c:f>Sheet1!$B$2</c:f>
              <c:numCache>
                <c:formatCode>General</c:formatCode>
                <c:ptCount val="1"/>
                <c:pt idx="0">
                  <c:v>450.11</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dk1">
                    <a:lumMod val="75000"/>
                    <a:lumOff val="25000"/>
                  </a:schemeClr>
                </a:solidFill>
                <a:latin typeface="+mn-lt"/>
                <a:ea typeface="+mn-ea"/>
                <a:cs typeface="+mn-cs"/>
              </a:defRPr>
            </a:pPr>
            <a:r>
              <a:t>2022年支出合计</a:t>
            </a:r>
          </a:p>
        </c:rich>
      </c:tx>
      <c:layout/>
      <c:overlay val="0"/>
      <c:spPr>
        <a:noFill/>
        <a:ln>
          <a:noFill/>
        </a:ln>
        <a:effectLst/>
      </c:spPr>
    </c:title>
    <c:autoTitleDeleted val="0"/>
    <c:plotArea>
      <c:layout/>
      <c:pieChart>
        <c:varyColors val="1"/>
        <c:ser>
          <c:idx val="0"/>
          <c:order val="0"/>
          <c:tx>
            <c:strRef>
              <c:f>Sheet1!$B$1</c:f>
              <c:strCache>
                <c:ptCount val="1"/>
                <c:pt idx="0">
                  <c:v>2022年度支出</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Lbls>
            <c:dLbl>
              <c:idx val="0"/>
              <c:layout/>
              <c:dLblPos val="bestFit"/>
              <c:showLegendKey val="0"/>
              <c:showVal val="1"/>
              <c:showCatName val="0"/>
              <c:showSerName val="0"/>
              <c:showPercent val="0"/>
              <c:showBubbleSize val="0"/>
              <c:extLst>
                <c:ext xmlns:c15="http://schemas.microsoft.com/office/drawing/2012/chart" uri="{CE6537A1-D6FC-4f65-9D91-7224C49458BB}"/>
              </c:extLst>
            </c:dLbl>
            <c:dLbl>
              <c:idx val="1"/>
              <c:layout/>
              <c:dLblPos val="bestFi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0"/>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基本支出</c:v>
                </c:pt>
                <c:pt idx="1">
                  <c:v>项目支出</c:v>
                </c:pt>
              </c:strCache>
            </c:strRef>
          </c:cat>
          <c:val>
            <c:numRef>
              <c:f>Sheet1!$B$2:$B$3</c:f>
              <c:numCache>
                <c:formatCode>General</c:formatCode>
                <c:ptCount val="2"/>
                <c:pt idx="0">
                  <c:v>342.06</c:v>
                </c:pt>
                <c:pt idx="1">
                  <c:v>121.64</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566078762986229"/>
          <c:y val="0.0444290976058932"/>
          <c:w val="0.868857211886929"/>
          <c:h val="0.860359116022099"/>
        </c:manualLayout>
      </c:layout>
      <c:barChart>
        <c:barDir val="col"/>
        <c:grouping val="clustered"/>
        <c:varyColors val="0"/>
        <c:ser>
          <c:idx val="0"/>
          <c:order val="0"/>
          <c:tx>
            <c:strRef>
              <c:f>Sheet1!#REF!</c:f>
              <c:strCache>
                <c:ptCount val="1"/>
                <c:pt idx="0">
                  <c:v/>
                </c:pt>
              </c:strCache>
            </c:strRef>
          </c:tx>
          <c:spPr>
            <a:solidFill>
              <a:schemeClr val="accent1"/>
            </a:solidFill>
            <a:ln>
              <a:noFill/>
            </a:ln>
            <a:effectLst/>
          </c:spPr>
          <c:invertIfNegative val="0"/>
          <c:dLbls>
            <c:delete val="1"/>
          </c:dLbls>
          <c:cat>
            <c:strRef>
              <c:f>Sheet1!$A$2:$A$3</c:f>
              <c:strCache>
                <c:ptCount val="2"/>
                <c:pt idx="0">
                  <c:v>2021年财政拨款收、支总计</c:v>
                </c:pt>
                <c:pt idx="1">
                  <c:v>2022年财政拨款收、支总计</c:v>
                </c:pt>
              </c:strCache>
            </c:strRef>
          </c:cat>
          <c:val>
            <c:numRef>
              <c:f>Sheet1!#REF!</c:f>
              <c:numCache>
                <c:formatCode>General</c:formatCode>
                <c:ptCount val="1"/>
                <c:pt idx="0">
                  <c:v>1</c:v>
                </c:pt>
              </c:numCache>
            </c:numRef>
          </c:val>
        </c:ser>
        <c:ser>
          <c:idx val="1"/>
          <c:order val="1"/>
          <c:tx>
            <c:strRef>
              <c:f>Sheet1!$B$1</c:f>
              <c:strCache>
                <c:ptCount val="1"/>
                <c:pt idx="0">
                  <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2021年财政拨款收、支总计</c:v>
                </c:pt>
                <c:pt idx="1">
                  <c:v>2022年财政拨款收、支总计</c:v>
                </c:pt>
              </c:strCache>
            </c:strRef>
          </c:cat>
          <c:val>
            <c:numRef>
              <c:f>Sheet1!$B$2:$B$3</c:f>
              <c:numCache>
                <c:formatCode>General</c:formatCode>
                <c:ptCount val="2"/>
                <c:pt idx="0">
                  <c:v>450.31</c:v>
                </c:pt>
                <c:pt idx="1">
                  <c:v>472.28</c:v>
                </c:pt>
              </c:numCache>
            </c:numRef>
          </c:val>
        </c:ser>
        <c:ser>
          <c:idx val="2"/>
          <c:order val="2"/>
          <c:tx>
            <c:strRef>
              <c:f>Sheet1!#REF!</c:f>
              <c:strCache>
                <c:ptCount val="1"/>
                <c:pt idx="0">
                  <c:v/>
                </c:pt>
              </c:strCache>
            </c:strRef>
          </c:tx>
          <c:spPr>
            <a:solidFill>
              <a:schemeClr val="accent3"/>
            </a:solidFill>
            <a:ln>
              <a:noFill/>
            </a:ln>
            <a:effectLst/>
          </c:spPr>
          <c:invertIfNegative val="0"/>
          <c:dLbls>
            <c:delete val="1"/>
          </c:dLbls>
          <c:cat>
            <c:strRef>
              <c:f>Sheet1!$A$2:$A$3</c:f>
              <c:strCache>
                <c:ptCount val="2"/>
                <c:pt idx="0">
                  <c:v>2021年财政拨款收、支总计</c:v>
                </c:pt>
                <c:pt idx="1">
                  <c:v>2022年财政拨款收、支总计</c:v>
                </c:pt>
              </c:strCache>
            </c:strRef>
          </c:cat>
          <c:val>
            <c:numRef>
              <c:f>Sheet1!#REF!</c:f>
              <c:numCache>
                <c:formatCode>General</c:formatCode>
                <c:ptCount val="1"/>
                <c:pt idx="0">
                  <c:v>1</c:v>
                </c:pt>
              </c:numCache>
            </c:numRef>
          </c:val>
        </c:ser>
        <c:dLbls>
          <c:showLegendKey val="0"/>
          <c:showVal val="1"/>
          <c:showCatName val="0"/>
          <c:showSerName val="0"/>
          <c:showPercent val="0"/>
          <c:showBubbleSize val="0"/>
        </c:dLbls>
        <c:gapWidth val="246"/>
        <c:overlap val="-28"/>
        <c:axId val="649160180"/>
        <c:axId val="38442952"/>
      </c:barChart>
      <c:catAx>
        <c:axId val="649160180"/>
        <c:scaling>
          <c:orientation val="minMax"/>
        </c:scaling>
        <c:delete val="0"/>
        <c:axPos val="b"/>
        <c:majorTickMark val="out"/>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8442952"/>
        <c:crosses val="autoZero"/>
        <c:auto val="1"/>
        <c:lblAlgn val="ctr"/>
        <c:lblOffset val="100"/>
        <c:noMultiLvlLbl val="0"/>
      </c:catAx>
      <c:valAx>
        <c:axId val="38442952"/>
        <c:scaling>
          <c:orientation val="minMax"/>
        </c:scaling>
        <c:delete val="0"/>
        <c:axPos val="l"/>
        <c:majorGridlines>
          <c:spPr>
            <a:ln w="9525" cap="flat" cmpd="sng" algn="ctr">
              <a:solidFill>
                <a:schemeClr val="bg1">
                  <a:lumMod val="90200"/>
                </a:schemeClr>
              </a:solidFill>
              <a:round/>
            </a:ln>
            <a:effectLst/>
          </c:spPr>
        </c:majorGridlines>
        <c:numFmt formatCode="General" sourceLinked="1"/>
        <c:majorTickMark val="out"/>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4916018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614399613433196"/>
          <c:y val="0.144248704663212"/>
          <c:w val="0.908359507127325"/>
          <c:h val="0.770031088082902"/>
        </c:manualLayout>
      </c:layout>
      <c:barChart>
        <c:barDir val="col"/>
        <c:grouping val="clustered"/>
        <c:varyColors val="0"/>
        <c:ser>
          <c:idx val="0"/>
          <c:order val="0"/>
          <c:tx>
            <c:strRef>
              <c:f>Sheet1!#REF!</c:f>
              <c:strCache>
                <c:ptCount val="1"/>
                <c:pt idx="0">
                  <c:v/>
                </c:pt>
              </c:strCache>
            </c:strRef>
          </c:tx>
          <c:spPr>
            <a:solidFill>
              <a:schemeClr val="accent1"/>
            </a:solidFill>
            <a:ln>
              <a:noFill/>
            </a:ln>
            <a:effectLst/>
          </c:spPr>
          <c:invertIfNegative val="0"/>
          <c:dLbls>
            <c:delete val="1"/>
          </c:dLbls>
          <c:cat>
            <c:strRef>
              <c:f>Sheet1!$A$2:$A$3</c:f>
              <c:strCache>
                <c:ptCount val="2"/>
                <c:pt idx="0">
                  <c:v>2021年一般公共预算财政拨款支出</c:v>
                </c:pt>
                <c:pt idx="1">
                  <c:v>2022年一般公共预算财政拨款支出</c:v>
                </c:pt>
              </c:strCache>
            </c:strRef>
          </c:cat>
          <c:val>
            <c:numRef>
              <c:f>Sheet1!#REF!</c:f>
              <c:numCache>
                <c:formatCode>General</c:formatCode>
                <c:ptCount val="1"/>
                <c:pt idx="0">
                  <c:v>1</c:v>
                </c:pt>
              </c:numCache>
            </c:numRef>
          </c:val>
        </c:ser>
        <c:ser>
          <c:idx val="1"/>
          <c:order val="1"/>
          <c:tx>
            <c:strRef>
              <c:f>Sheet1!$B$1</c:f>
              <c:strCache>
                <c:ptCount val="1"/>
                <c:pt idx="0">
                  <c:v>系列 2</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2021年一般公共预算财政拨款支出</c:v>
                </c:pt>
                <c:pt idx="1">
                  <c:v>2022年一般公共预算财政拨款支出</c:v>
                </c:pt>
              </c:strCache>
            </c:strRef>
          </c:cat>
          <c:val>
            <c:numRef>
              <c:f>Sheet1!$B$2:$B$3</c:f>
              <c:numCache>
                <c:formatCode>General</c:formatCode>
                <c:ptCount val="2"/>
                <c:pt idx="0">
                  <c:v>416.14</c:v>
                </c:pt>
                <c:pt idx="1">
                  <c:v>463.7</c:v>
                </c:pt>
              </c:numCache>
            </c:numRef>
          </c:val>
        </c:ser>
        <c:ser>
          <c:idx val="2"/>
          <c:order val="2"/>
          <c:tx>
            <c:strRef>
              <c:f>Sheet1!#REF!</c:f>
              <c:strCache>
                <c:ptCount val="1"/>
                <c:pt idx="0">
                  <c:v/>
                </c:pt>
              </c:strCache>
            </c:strRef>
          </c:tx>
          <c:spPr>
            <a:solidFill>
              <a:schemeClr val="accent3"/>
            </a:solidFill>
            <a:ln>
              <a:noFill/>
            </a:ln>
            <a:effectLst/>
          </c:spPr>
          <c:invertIfNegative val="0"/>
          <c:dLbls>
            <c:delete val="1"/>
          </c:dLbls>
          <c:cat>
            <c:strRef>
              <c:f>Sheet1!$A$2:$A$3</c:f>
              <c:strCache>
                <c:ptCount val="2"/>
                <c:pt idx="0">
                  <c:v>2021年一般公共预算财政拨款支出</c:v>
                </c:pt>
                <c:pt idx="1">
                  <c:v>2022年一般公共预算财政拨款支出</c:v>
                </c:pt>
              </c:strCache>
            </c:strRef>
          </c:cat>
          <c:val>
            <c:numRef>
              <c:f>Sheet1!#REF!</c:f>
              <c:numCache>
                <c:formatCode>General</c:formatCode>
                <c:ptCount val="1"/>
                <c:pt idx="0">
                  <c:v>1</c:v>
                </c:pt>
              </c:numCache>
            </c:numRef>
          </c:val>
        </c:ser>
        <c:dLbls>
          <c:showLegendKey val="0"/>
          <c:showVal val="0"/>
          <c:showCatName val="0"/>
          <c:showSerName val="0"/>
          <c:showPercent val="0"/>
          <c:showBubbleSize val="0"/>
        </c:dLbls>
        <c:gapWidth val="246"/>
        <c:overlap val="-28"/>
        <c:axId val="36053618"/>
        <c:axId val="383993595"/>
      </c:barChart>
      <c:catAx>
        <c:axId val="36053618"/>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83993595"/>
        <c:crosses val="autoZero"/>
        <c:auto val="1"/>
        <c:lblAlgn val="ctr"/>
        <c:lblOffset val="100"/>
        <c:noMultiLvlLbl val="0"/>
      </c:catAx>
      <c:valAx>
        <c:axId val="383993595"/>
        <c:scaling>
          <c:orientation val="minMax"/>
        </c:scaling>
        <c:delete val="0"/>
        <c:axPos val="l"/>
        <c:majorGridlines>
          <c:spPr>
            <a:ln w="9525" cap="flat" cmpd="sng" algn="ctr">
              <a:solidFill>
                <a:schemeClr val="bg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605361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dk1">
                  <a:lumMod val="75000"/>
                  <a:lumOff val="25000"/>
                </a:schemeClr>
              </a:solidFill>
              <a:latin typeface="+mn-lt"/>
              <a:ea typeface="+mn-ea"/>
              <a:cs typeface="+mn-cs"/>
            </a:defRPr>
          </a:pPr>
        </a:p>
      </c:txPr>
    </c:title>
    <c:autoTitleDeleted val="0"/>
    <c:plotArea>
      <c:layout/>
      <c:pieChart>
        <c:varyColors val="1"/>
        <c:ser>
          <c:idx val="0"/>
          <c:order val="0"/>
          <c:tx>
            <c:strRef>
              <c:f>Sheet1!$B$1</c:f>
              <c:strCache>
                <c:ptCount val="1"/>
                <c:pt idx="0">
                  <c:v>2022年“三公”经费财政拨款支出</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Sheet1!$A$2:$A$4</c:f>
              <c:strCache>
                <c:ptCount val="3"/>
                <c:pt idx="0">
                  <c:v>因公出国（境）费</c:v>
                </c:pt>
                <c:pt idx="1">
                  <c:v>公务用车购置及运行维护费</c:v>
                </c:pt>
                <c:pt idx="2">
                  <c:v>公务接待费</c:v>
                </c:pt>
              </c:strCache>
            </c:strRef>
          </c:cat>
          <c:val>
            <c:numRef>
              <c:f>Sheet1!$B$2:$B$4</c:f>
              <c:numCache>
                <c:formatCode>General</c:formatCode>
                <c:ptCount val="3"/>
                <c:pt idx="0">
                  <c:v>0</c:v>
                </c:pt>
                <c:pt idx="1">
                  <c:v>0</c:v>
                </c:pt>
                <c:pt idx="2">
                  <c:v>0.08</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bg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dk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bg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dk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bg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dk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bg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dk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bg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dk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bg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dk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四川省财政厅</Company>
  <Pages>24</Pages>
  <Words>1299</Words>
  <Characters>7410</Characters>
  <Lines>61</Lines>
  <Paragraphs>17</Paragraphs>
  <TotalTime>1</TotalTime>
  <ScaleCrop>false</ScaleCrop>
  <LinksUpToDate>false</LinksUpToDate>
  <CharactersWithSpaces>8692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2020-08-05T17:49:00Z</dcterms:created>
  <dc:creator>曹颖</dc:creator>
  <cp:lastModifiedBy>Administrator</cp:lastModifiedBy>
  <cp:lastPrinted>2023-07-31T18:35:00Z</cp:lastPrinted>
  <dcterms:modified xsi:type="dcterms:W3CDTF">2023-10-16T06:53:53Z</dcterms:modified>
  <dc:title>四川省***</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6B70361D626A4593B4A9C4A901EC4F63</vt:lpwstr>
  </property>
</Properties>
</file>