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both"/>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center"/>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t>广元市政务服务和公共资源交易中心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center"/>
        <w:textAlignment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t>2025年单位预算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both"/>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right="0" w:firstLine="0"/>
        <w:jc w:val="center"/>
        <w:rPr>
          <w:rFonts w:hint="eastAsia" w:ascii="仿宋_GB2312" w:hAnsi="仿宋_GB2312" w:eastAsia="仿宋_GB2312" w:cs="仿宋_GB2312"/>
          <w:b/>
          <w:bCs/>
          <w:i w:val="0"/>
          <w:caps w:val="0"/>
          <w:color w:val="000000" w:themeColor="text1"/>
          <w:spacing w:val="0"/>
          <w:kern w:val="0"/>
          <w:sz w:val="32"/>
          <w:szCs w:val="32"/>
          <w:highlight w:val="yellow"/>
          <w:shd w:val="clear" w:color="auto" w:fill="FFFFFF"/>
          <w:lang w:val="en-US" w:eastAsia="zh-CN" w:bidi="ar"/>
          <w14:textFill>
            <w14:solidFill>
              <w14:schemeClr w14:val="tx1"/>
            </w14:solidFill>
          </w14:textFill>
        </w:rPr>
        <w:sectPr>
          <w:footerReference r:id="rId3" w:type="default"/>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p>
      <w:pPr>
        <w:jc w:val="cente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目   录</w:t>
      </w:r>
    </w:p>
    <w:p>
      <w:pPr>
        <w:numPr>
          <w:ilvl w:val="0"/>
          <w:numId w:val="1"/>
        </w:numPr>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广元市政务服务和公共资源交易中心单位概况 </w:t>
      </w:r>
    </w:p>
    <w:p>
      <w:pPr>
        <w:numPr>
          <w:ilvl w:val="0"/>
          <w:numId w:val="0"/>
        </w:numPr>
        <w:ind w:firstLine="320" w:firstLineChars="10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一、 基本职能及主要工作 </w:t>
      </w:r>
    </w:p>
    <w:p>
      <w:pPr>
        <w:numPr>
          <w:ilvl w:val="0"/>
          <w:numId w:val="0"/>
        </w:numPr>
        <w:ind w:leftChars="0" w:firstLine="320" w:firstLineChars="10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二、部门预算单位构成</w:t>
      </w:r>
    </w:p>
    <w:p>
      <w:pPr>
        <w:numPr>
          <w:ilvl w:val="0"/>
          <w:numId w:val="1"/>
        </w:numPr>
        <w:ind w:left="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广元市政务服务和公共资源交易中心2025年单位预算情况说明 </w:t>
      </w:r>
    </w:p>
    <w:p>
      <w:pPr>
        <w:numPr>
          <w:ilvl w:val="0"/>
          <w:numId w:val="1"/>
        </w:numPr>
        <w:ind w:left="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名词解释</w:t>
      </w:r>
    </w:p>
    <w:p>
      <w:pPr>
        <w:numPr>
          <w:ilvl w:val="0"/>
          <w:numId w:val="1"/>
        </w:numPr>
        <w:ind w:left="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广元市政务服务和公共资源交易中心2025年单位预算表</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部门收支总表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部门收入总表</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部门支出总表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财政拨款收支预算总表</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财政拨款支出预算表（部门经济分类科目）</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一般公共预算支出预算表</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一般公共预算基本支出预算表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一般公共预算项目支出预算表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一般公共预算“三公”经费支出预算表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政府性基金预算支出预算表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政府性基金预算“三公”经费支出预算表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国有资本经营预算支出预算表 </w:t>
      </w:r>
    </w:p>
    <w:p>
      <w:pPr>
        <w:numPr>
          <w:ilvl w:val="0"/>
          <w:numId w:val="2"/>
        </w:numPr>
        <w:ind w:left="160" w:leftChars="0" w:firstLine="0" w:firstLineChars="0"/>
        <w:jc w:val="both"/>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 xml:space="preserve">部门预算项目支出绩效目标表 </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0" w:beforeAutospacing="0" w:after="0" w:afterAutospacing="0" w:line="580" w:lineRule="atLeast"/>
        <w:ind w:left="0" w:right="0" w:firstLine="560" w:firstLineChars="200"/>
        <w:jc w:val="both"/>
        <w:rPr>
          <w:rFonts w:hint="eastAsia" w:ascii="宋体" w:hAnsi="宋体" w:eastAsia="宋体" w:cs="宋体"/>
          <w:i w:val="0"/>
          <w:caps w:val="0"/>
          <w:color w:val="000000" w:themeColor="text1"/>
          <w:spacing w:val="0"/>
          <w:kern w:val="0"/>
          <w:sz w:val="28"/>
          <w:szCs w:val="28"/>
          <w:highlight w:val="none"/>
          <w:shd w:val="clear" w:color="auto" w:fill="FFFFFF"/>
          <w:lang w:val="en-US" w:eastAsia="zh-CN" w:bidi="ar"/>
          <w14:textFill>
            <w14:solidFill>
              <w14:schemeClr w14:val="tx1"/>
            </w14:solidFill>
          </w14:textFill>
        </w:rPr>
      </w:pPr>
    </w:p>
    <w:p>
      <w:pPr>
        <w:keepNext w:val="0"/>
        <w:keepLines/>
        <w:pageBreakBefore/>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right="0" w:firstLine="0"/>
        <w:jc w:val="center"/>
        <w:textAlignment w:val="auto"/>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sectPr>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left="0" w:leftChars="0" w:right="0" w:firstLine="0" w:firstLineChars="0"/>
        <w:jc w:val="center"/>
        <w:textAlignment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i w:val="0"/>
          <w:caps w:val="0"/>
          <w:color w:val="000000" w:themeColor="text1"/>
          <w:spacing w:val="0"/>
          <w:kern w:val="0"/>
          <w:sz w:val="40"/>
          <w:szCs w:val="40"/>
          <w:highlight w:val="none"/>
          <w:shd w:val="clear" w:color="auto" w:fill="FFFFFF"/>
          <w:lang w:val="en-US" w:eastAsia="zh-CN" w:bidi="ar"/>
          <w14:textFill>
            <w14:solidFill>
              <w14:schemeClr w14:val="tx1"/>
            </w14:solidFill>
          </w14:textFill>
        </w:rPr>
        <w:t>广元市政务服务和公共资源交易中心</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atLeast"/>
        <w:ind w:right="0" w:rightChars="0" w:firstLine="3960" w:firstLineChars="900"/>
        <w:jc w:val="both"/>
        <w:textAlignment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t>单位</w:t>
      </w:r>
      <w:r>
        <w:rPr>
          <w:rFonts w:hint="eastAsia" w:ascii="方正小标宋简体" w:hAnsi="方正小标宋简体" w:eastAsia="方正小标宋简体" w:cs="方正小标宋简体"/>
          <w:sz w:val="44"/>
          <w:szCs w:val="44"/>
          <w:lang w:val="en-US" w:eastAsia="zh-CN"/>
        </w:rPr>
        <w:t>概况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sectPr>
          <w:type w:val="continuous"/>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一、基本职能及主要工作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sz w:val="32"/>
          <w:szCs w:val="32"/>
          <w:lang w:val="en-US" w:eastAsia="zh-CN"/>
        </w:rPr>
        <w:t>广元市政务服务和公共资源交易中心</w:t>
      </w:r>
      <w:r>
        <w:rPr>
          <w:rFonts w:hint="eastAsia" w:ascii="楷体_GB2312" w:hAnsi="楷体_GB2312" w:eastAsia="楷体_GB2312" w:cs="楷体_GB2312"/>
          <w:color w:val="auto"/>
          <w:sz w:val="32"/>
          <w:szCs w:val="32"/>
        </w:rPr>
        <w:t>职能简介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1.贯彻落实有关政务服务和公共资源交易工作的方针政策</w:t>
      </w:r>
      <w:r>
        <w:rPr>
          <w:rFonts w:hint="eastAsia" w:ascii="仿宋_GB2312" w:hAnsi="仿宋_GB2312" w:eastAsia="仿宋_GB2312" w:cs="仿宋_GB2312"/>
          <w:sz w:val="32"/>
          <w:szCs w:val="32"/>
          <w:lang w:val="en-US" w:eastAsia="zh-CN"/>
        </w:rPr>
        <w:t>和决策部署，参与拟订全市政务服务、公共资源交易规则和相关政策。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2.为市政务服务和公共资源交易活动提供场所、设施、信息和现场管理服务，承担市级政务服务和公共资源交易服务平台建设和管理。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3.落实政务服务事项“应尽必进”，跟踪督促政务服务事项办理情况，负责入驻单位窗口工作人员的日常管理。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4.推进窗口服务事项清理、办事材料精简、服务流程优化、办事指南规范更新，统筹协调窗口为企业和群众开展全程代办、协办和上门服务、延时服务、预约服务，推动落实“一网办”“一门办”“一次办”。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5.统筹落实市本级惠企政策“一站式”兑现、工程建设项目联合审批等企业增值化服务，推进政务服务行政审批中介服务规范管理。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6.负责12345政务服务热线的运行和日常管理。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7.负责一体化政务服务平台、公共资源交易电子化平台、12345热线服务平台、惠企政策精准推送系统、工程建设项目联合审批管理系统等自建或使用的业务系统的运维管理。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8.承担全市工程建设招投标现场服务和管理工作，代理政府集中采购项目招标采购，提供国有产权、土地（矿权）出让等交易服务。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9.制定并组织实施市本级集中采购项目实施方案，配合做好市本级《中华人民共和国政府采购法》执行情况检查工作。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color w:val="FF0000"/>
          <w:sz w:val="32"/>
          <w:szCs w:val="32"/>
        </w:rPr>
      </w:pPr>
      <w:r>
        <w:rPr>
          <w:rFonts w:hint="eastAsia" w:ascii="仿宋_GB2312" w:hAnsi="仿宋_GB2312" w:eastAsia="仿宋_GB2312" w:cs="仿宋_GB2312"/>
          <w:sz w:val="32"/>
          <w:szCs w:val="32"/>
          <w:lang w:val="en-US" w:eastAsia="zh-CN"/>
        </w:rPr>
        <w:t>10.完成市政务服务和数据局交办的其他工作。</w:t>
      </w:r>
    </w:p>
    <w:p>
      <w:pPr>
        <w:keepNext w:val="0"/>
        <w:keepLines w:val="0"/>
        <w:pageBreakBefore w:val="0"/>
        <w:widowControl w:val="0"/>
        <w:kinsoku/>
        <w:wordWrap/>
        <w:overflowPunct/>
        <w:topLinePunct w:val="0"/>
        <w:autoSpaceDE/>
        <w:autoSpaceDN/>
        <w:bidi w:val="0"/>
        <w:adjustRightInd/>
        <w:snapToGrid/>
        <w:spacing w:line="576" w:lineRule="exact"/>
        <w:ind w:firstLine="320" w:firstLineChars="1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w:t>
      </w:r>
      <w:r>
        <w:rPr>
          <w:rFonts w:hint="eastAsia" w:ascii="楷体_GB2312" w:hAnsi="楷体_GB2312" w:eastAsia="楷体_GB2312" w:cs="楷体_GB2312"/>
          <w:color w:val="auto"/>
          <w:sz w:val="32"/>
          <w:szCs w:val="32"/>
          <w:lang w:val="en-US" w:eastAsia="zh-CN"/>
        </w:rPr>
        <w:t>广元市政务服务和公共资源交易中心2025</w:t>
      </w:r>
      <w:r>
        <w:rPr>
          <w:rFonts w:hint="eastAsia" w:ascii="楷体_GB2312" w:hAnsi="楷体_GB2312" w:eastAsia="楷体_GB2312" w:cs="楷体_GB2312"/>
          <w:color w:val="auto"/>
          <w:sz w:val="32"/>
          <w:szCs w:val="32"/>
        </w:rPr>
        <w:t>年重点工作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2025年，市政务服务和公共资源交易中心将严格按照市委、市政府决策部署，加强统筹协调，全力提升社会各界对我市政务服务和数据工作的认可度和满意度。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政务服务“三化”水平大幅提升。完善服务平台，在更多领域更大范围实现“高效办成一件事”，推行全程网办。加强“一单一图一表”组织实施和创新应用，进一步提高服务效能。规范建设运行无差别综合窗口，打造“窗口数量适中、政务业务精通、服务文明高效”的服务体系。完成企业综合服务中心规范化建设，实现涉企服务集成供给。持续开展探索创新，组织围绕试点产业外其他重点产业开展政务服务增值化改革。强化惠企政策落实，让市场主体高效、精准、全面享受政策红利。持续优化工程建设项目审批流程，推动工程建设项目全生命周期“一件事”高效办理。压实亲商助企热线诉求处置专班工作责任，提级办理重大、紧急、疑难问题，保障企业诉求高质量解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快数字广元创新实践。谋划建设信息化项目统一管理平台，实现项目规划、设计、实施和运维的全流程线上监管。聚焦工业制造、现代农业、商贸流通、交通运输等12个重点领域，推动发挥数据要素乘数效应，释放数据要素价值。推动公共数据资产入表，在重点行业领域试点探索。完善数字基础设施，落地川陕甘多元异构绿色智算中心。谋划建设广元数字经济产业园，将本地优势转换为数字经济发展的蓬勃动力。加大数字经济“四新一盘活”力度，力争引进一批突破型、战略型、基地型项目。积极申报四川省行业型数字化转型促进中心，支撑我市优势产业数字化转型发展。鼓励企业推进“智改数转”，建设一批辐射带动作用明显的行业数字化应用典型场景。</w:t>
      </w:r>
    </w:p>
    <w:p>
      <w:pPr>
        <w:pStyle w:val="10"/>
        <w:ind w:left="0" w:leftChars="0" w:firstLine="640" w:firstLineChars="200"/>
        <w:rPr>
          <w:rFonts w:hint="eastAsia"/>
        </w:rPr>
      </w:pPr>
      <w:r>
        <w:rPr>
          <w:rFonts w:hint="eastAsia" w:ascii="仿宋_GB2312" w:hAnsi="仿宋_GB2312" w:eastAsia="仿宋_GB2312" w:cs="仿宋_GB2312"/>
          <w:sz w:val="32"/>
          <w:szCs w:val="32"/>
          <w:lang w:val="en-US" w:eastAsia="zh-CN"/>
        </w:rPr>
        <w:t>3.数智化赋能阳光便捷交易。持续开展跨省远程异地评标，积极争取政策支持，加强与兄弟省市、行业协会、学术机构的合作交流，促进区域内公共资源交易规则和技术标准的统一。推进远程异地评标工作的数智化转型升级，探索工位式远程异地分散评标的应用落地。将人工智能、大数据运用与交易流程深度耦合，加快建设全流程数字见证系统、场地智能化总控平台系统。进一步挖掘并释放交易数据的价值潜力，推进交易治理精准化、交易服务智慧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二、部门预算单位构成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我单位为广元市政务服务和数据局的下属二级预算单位，本单位无下属机构，设有内设机构9个。</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sectPr>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firstLine="0" w:firstLine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caps w:val="0"/>
          <w:color w:val="000000" w:themeColor="text1"/>
          <w:spacing w:val="0"/>
          <w:kern w:val="0"/>
          <w:sz w:val="40"/>
          <w:szCs w:val="40"/>
          <w:highlight w:val="none"/>
          <w:shd w:val="clear" w:color="auto" w:fill="FFFFFF"/>
          <w:lang w:val="en-US" w:eastAsia="zh-CN" w:bidi="ar"/>
          <w14:textFill>
            <w14:solidFill>
              <w14:schemeClr w14:val="tx1"/>
            </w14:solidFill>
          </w14:textFill>
        </w:rPr>
        <w:t>广元市政务服务和公共资源交易中</w:t>
      </w:r>
      <w: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t xml:space="preserve">心     </w:t>
      </w:r>
      <w:r>
        <w:rPr>
          <w:rFonts w:hint="eastAsia" w:ascii="方正小标宋简体" w:hAnsi="方正小标宋简体" w:eastAsia="方正小标宋简体" w:cs="方正小标宋简体"/>
          <w:b w:val="0"/>
          <w:bCs w:val="0"/>
          <w:i w:val="0"/>
          <w:caps w:val="0"/>
          <w:color w:val="000000" w:themeColor="text1"/>
          <w:spacing w:val="0"/>
          <w:kern w:val="0"/>
          <w:sz w:val="40"/>
          <w:szCs w:val="40"/>
          <w:highlight w:val="none"/>
          <w:shd w:val="clear" w:color="auto" w:fill="FFFFFF"/>
          <w:lang w:val="en-US" w:eastAsia="zh-CN" w:bidi="ar"/>
          <w14:textFill>
            <w14:solidFill>
              <w14:schemeClr w14:val="tx1"/>
            </w14:solidFill>
          </w14:textFill>
        </w:rPr>
        <w:t>2025年单位预算情况说明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lang w:val="en-US" w:eastAsia="zh-CN"/>
        </w:rPr>
        <w:sectPr>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一、收支预算情况说明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综合预算的原则，广元市政务服务和公共资源交易中心所有收入和支出均纳入部门预算管理。收入包括：一般公共预算拨款收入；支出包括：一般公共服务支出、社会保障和就业支出、卫生健康支出、住房保障支出。广元市政务服务和公共资源交易中心2025年收支预算总数456.05万元,比2024年收支预算总数减少22.29万元，主要原因是预算编制人数比上年度减少2名导致人员经费及日常公用经费减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（一）收入预算情况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广元市政务服务和公共资源交易中心2025年收入预算456.05万元，其中：一般公共预算拨款收入456.05万元，占100%。</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（二）支出预算情况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广元市政务服务和公共资源交易中心2025年支出预算456.05万元，其中：基本支出371.82万元，占81.53%；项目支出84.23万元，占18.47%</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二、财政拨款收支预算情况说明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广元市政务服务和公共资源交易中心2025年财政拨款收支预算总数456.05万元,比2024年财政拨款收支预算总数减少22.29万元，主要原因是预算编制人数比上年度减少2名导致人员经费及日常公用经费减少。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收入包括：本年一般公共预算拨款收入456.05万元；支出包括：一般公共服务支出373.16万元、社会保障和就业支出41.62万元、卫生健康支出11.27万元、住房保障支出30万元。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三、一般公共预算当年拨款情况说明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（一）一般公共预算当年拨款规模变化情况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广元市政务服务和公共资源交易中心2025年一般公共预算当年拨款456.05万元，比2024年预算数减少22.29万元，主要原因是预算编制人数比上年度减少2名导致人员经费及日常公用经费减少。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（二）一般公共预算当年拨款结构情况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一般公共服务支出373.16万元，占81.82%；社会保障和就业支出41.62万元，占9.13%；卫生健康支出11.27万元，占2.47%；住房保障支出30万元，占6.58%。</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（三）一般公共预算当年拨款具体使用情况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一般公共服务（类）政府办公厅（室）及相关机构事务（款）事业运行（项）2025年预算数为288.93万元，主要用于：事业单位工资奖金津补贴、其他工资福利支出、办公经费、会议费、培训费、委托业务费、公务接待费、维修（护）费、其他商品和服务支出、社会福利和救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一般公共服务（类）政府办公厅（室）及相关机构事务（款） 其他政府办公厅（室）及相关机构事务支出（项）2025年预算数为84.23万元，主要用于：事业单位未单独设置项级科目的其他项目支出。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3.社会保障和就业（类）行政事业单位养老支出（款）事业单位离退休（项）2025年预算数为5.04万元，主要用于：事业单位离退休人员经费支出。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4.社会保障和就业（类）行政事业单位养老支出（款）机关事业单位基本养老保险缴费支出（项）2025年预算数为35.24万元，主要用于：实施养老保险制度由单位缴纳的基本养老保险支出。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5.社会保障和就业（类）其他社会保障和就业支出（款）其他社会保障和就业支出（项）2025年预算数为1.34万元，主要用于：其他用于社会保障和就业方面的支出。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6.卫生健康（类）行政事业单位医疗（款）事业单位医疗（项）2025年预算数为11.27万元，主要用于：事业单位按规定由单位缴纳的基本医疗保险支出。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7.住房保障（类）住房改革支出（款）住房公积金（项）2025年预算数为30万元，主要用于：部门按规定为职工缴纳的住房公积金支出。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四、一般公共预算基本支出情况说明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广元市政务服务和公共资源交易中心2025年一般公共预算基本支出371.82万元，其中：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人员经费321.46万元，主要包括：基本工资、津贴补贴、奖金、绩效工资、社会保险缴费、住房公积金、生活补助等支出。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公用经费50.36万元，主要包括：办公费、差旅费、培训费、劳务费、委托业务费、工会经费、福利费、其他交通费用、其他商品和服务支出等支出。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五、“三公”经费财政拨款预算安排情况说明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广元市政务服务和公共资源交易中心2025年“三公”经费财政拨款预算数0万元。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（一）公务接待费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lang w:val="en-US" w:eastAsia="zh-CN"/>
        </w:rPr>
        <w:t>公务接待费与2024年预算相比</w:t>
      </w:r>
      <w:r>
        <w:rPr>
          <w:rFonts w:hint="eastAsia" w:ascii="仿宋_GB2312" w:hAnsi="仿宋_GB2312" w:eastAsia="仿宋_GB2312" w:cs="仿宋_GB2312"/>
          <w:sz w:val="32"/>
          <w:szCs w:val="32"/>
          <w:highlight w:val="none"/>
          <w:lang w:val="en-US" w:eastAsia="zh-CN"/>
        </w:rPr>
        <w:t>下降0.8万元。</w:t>
      </w:r>
      <w:r>
        <w:rPr>
          <w:rFonts w:hint="eastAsia" w:ascii="仿宋_GB2312" w:hAnsi="仿宋_GB2312" w:eastAsia="仿宋_GB2312" w:cs="仿宋_GB2312"/>
          <w:color w:val="auto"/>
          <w:sz w:val="32"/>
          <w:szCs w:val="32"/>
          <w:highlight w:val="none"/>
          <w:lang w:val="en-US" w:eastAsia="zh-CN"/>
        </w:rPr>
        <w:t>主要原因是例行节俭，压缩三公经费。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2025年公务接待费计划用于执行接待考察调研、检查指导等公务活动开支的交通费、住宿费、用餐费等。</w:t>
      </w:r>
    </w:p>
    <w:p>
      <w:pPr>
        <w:keepNext w:val="0"/>
        <w:keepLines w:val="0"/>
        <w:pageBreakBefore w:val="0"/>
        <w:widowControl w:val="0"/>
        <w:numPr>
          <w:ilvl w:val="0"/>
          <w:numId w:val="5"/>
        </w:numPr>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公务用车购置及运行维护费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lang w:val="en-US" w:eastAsia="zh-CN"/>
        </w:rPr>
        <w:t>公务用车购置及运行维护费与2024年预算相比持平，均为0万元。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单位现有公务用车0辆，2025年度无公务用车购置费及公务用车运行维护费预算安排。</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三）因公出国（境）经费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因公出国（境）经费与2024年预算相比持平，均为0万元。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六、政府性基金预算支出情况说明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广元市政务服务和公共资源交易中心2025年无政府性基金预算拨款安排的支出。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七、国有资本经营预算支出情况说明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广元市政务服务和公共资源交易中心2025年无国有资本经营预算拨款安排的支出。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八、其他重要事项的情况说明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（一）机关运行经费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广元市政务服务和公共资源交易中心</w:t>
      </w:r>
      <w:r>
        <w:rPr>
          <w:rFonts w:hint="default" w:ascii="仿宋_GB2312" w:hAnsi="仿宋_GB2312" w:eastAsia="仿宋_GB2312" w:cs="仿宋_GB2312"/>
          <w:sz w:val="32"/>
          <w:szCs w:val="32"/>
          <w:lang w:val="en-US" w:eastAsia="zh-CN"/>
        </w:rPr>
        <w:t>为事业单位，按规定未使用机关运行的相关科目</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（二）政府采购情况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2025年，广元市政务服务和公共资源交易中心安排政府采购预算0.8万元，其中：政府采购货物预算0.8万元。</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（三）国有资产占有使用情况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截至2024年底，广元市政务服务和公共资源交易中心共有车辆0辆。单位无价值200万元以上的大型设备。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2025年单位预算安排车辆购置经费0万元。拟购置定向保障用车0车辆、执法执勤用车0辆。2025年单位预算未安排购置车辆及单位价值200万元以上大型设备。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（四）绩效目标设置情况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sz w:val="32"/>
          <w:szCs w:val="32"/>
          <w:lang w:val="en-US" w:eastAsia="zh-CN"/>
        </w:rPr>
        <w:t>2025年广元市政务服务和公共资源交易中心开展绩效目标管理的项目12个，涉及预算456.05万元。其中：人员类项目5个，涉及预算321.46万元；运转类项目4个，涉及预算50.36万元；特定目标类项目3个，涉及预算84.23万元。</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bCs/>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firstLine="0" w:firstLineChars="0"/>
        <w:jc w:val="cente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t>名词解释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pPr>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一、财政拨款收入:</w:t>
      </w:r>
      <w:r>
        <w:rPr>
          <w:rFonts w:hint="eastAsia" w:ascii="仿宋_GB2312" w:hAnsi="仿宋_GB2312" w:eastAsia="仿宋_GB2312" w:cs="仿宋_GB2312"/>
          <w:sz w:val="32"/>
          <w:szCs w:val="32"/>
          <w:lang w:val="en-US" w:eastAsia="zh-CN"/>
        </w:rPr>
        <w:t>指市财政当年安排的财政预算收入。按现行管理制度</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部门预算中反映的财政拨款包括一般公共预算拨款和政府性基金预算拨款。</w:t>
      </w:r>
    </w:p>
    <w:p>
      <w:pPr>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二、一般公共服务（类）政府办公厅（室）及相关机构事务（款）事业运行（项）：</w:t>
      </w:r>
      <w:r>
        <w:rPr>
          <w:rFonts w:hint="eastAsia" w:ascii="仿宋_GB2312" w:hAnsi="仿宋_GB2312" w:eastAsia="仿宋_GB2312" w:cs="仿宋_GB2312"/>
          <w:sz w:val="32"/>
          <w:szCs w:val="32"/>
          <w:lang w:val="en-US" w:eastAsia="zh-CN"/>
        </w:rPr>
        <w:t>指事业单位的基本支出。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三、一般公共服务（类）政府办公厅（室）及相关机构事务（款）其他政府办公厅（室）及相关机构事务（项）：</w:t>
      </w:r>
      <w:r>
        <w:rPr>
          <w:rFonts w:hint="eastAsia" w:ascii="仿宋_GB2312" w:hAnsi="仿宋_GB2312" w:eastAsia="仿宋_GB2312" w:cs="仿宋_GB2312"/>
          <w:sz w:val="32"/>
          <w:szCs w:val="32"/>
          <w:lang w:val="en-US" w:eastAsia="zh-CN"/>
        </w:rPr>
        <w:t>指事业单位开展其他政府办公厅（室）及相关机构事务管理工作的项目支出。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xml:space="preserve">  四、社会保障和就业（类）行政事业单位养老支出（款）事业单位离退休（项）：</w:t>
      </w:r>
      <w:r>
        <w:rPr>
          <w:rFonts w:hint="eastAsia" w:ascii="仿宋_GB2312" w:hAnsi="仿宋_GB2312" w:eastAsia="仿宋_GB2312" w:cs="仿宋_GB2312"/>
          <w:sz w:val="32"/>
          <w:szCs w:val="32"/>
          <w:lang w:val="en-US" w:eastAsia="zh-CN"/>
        </w:rPr>
        <w:t>指事业单位离退休人员的支出。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五、社会保障和就业（类）行政事业单位养老支出（款）机关事业单位基本养老保险缴费支出（项）：</w:t>
      </w:r>
      <w:r>
        <w:rPr>
          <w:rFonts w:hint="eastAsia" w:ascii="仿宋_GB2312" w:hAnsi="仿宋_GB2312" w:eastAsia="仿宋_GB2312" w:cs="仿宋_GB2312"/>
          <w:sz w:val="32"/>
          <w:szCs w:val="32"/>
          <w:lang w:val="en-US" w:eastAsia="zh-CN"/>
        </w:rPr>
        <w:t>指部门实施养老保险制度由单位缴纳的养老保险的支出。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六、社会保障和就业（类）其他社会保障和就业支出（款）其他社会保障和就业支出（项）：</w:t>
      </w:r>
      <w:r>
        <w:rPr>
          <w:rFonts w:hint="eastAsia" w:ascii="仿宋_GB2312" w:hAnsi="仿宋_GB2312" w:eastAsia="仿宋_GB2312" w:cs="仿宋_GB2312"/>
          <w:sz w:val="32"/>
          <w:szCs w:val="32"/>
          <w:lang w:val="en-US" w:eastAsia="zh-CN"/>
        </w:rPr>
        <w:t>指其他用于社会保障和就业方面的支出。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七、卫生健康（类）行政事业单位医疗（款）事业单位医疗（项）：</w:t>
      </w:r>
      <w:r>
        <w:rPr>
          <w:rFonts w:hint="eastAsia" w:ascii="仿宋_GB2312" w:hAnsi="仿宋_GB2312" w:eastAsia="仿宋_GB2312" w:cs="仿宋_GB2312"/>
          <w:sz w:val="32"/>
          <w:szCs w:val="32"/>
          <w:lang w:val="en-US" w:eastAsia="zh-CN"/>
        </w:rPr>
        <w:t>指事业单位用于单位应缴纳基本医疗保险支出。</w:t>
      </w:r>
    </w:p>
    <w:p>
      <w:pPr>
        <w:keepNext w:val="0"/>
        <w:keepLines w:val="0"/>
        <w:pageBreakBefore w:val="0"/>
        <w:widowControl w:val="0"/>
        <w:kinsoku/>
        <w:wordWrap/>
        <w:overflowPunct/>
        <w:topLinePunct w:val="0"/>
        <w:autoSpaceDE/>
        <w:autoSpaceDN/>
        <w:bidi w:val="0"/>
        <w:adjustRightInd/>
        <w:snapToGrid/>
        <w:spacing w:line="576"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 xml:space="preserve"> 八、住房保障（类）住房改革支出（款）住房公积金（项）：</w:t>
      </w:r>
      <w:r>
        <w:rPr>
          <w:rFonts w:hint="eastAsia" w:ascii="仿宋_GB2312" w:hAnsi="仿宋_GB2312" w:eastAsia="仿宋_GB2312" w:cs="仿宋_GB2312"/>
          <w:sz w:val="32"/>
          <w:szCs w:val="32"/>
          <w:lang w:val="en-US" w:eastAsia="zh-CN"/>
        </w:rPr>
        <w:t>指按照《住房公积金管理条例》的规定，由单位及其在职职工缴存的长期住房储金。</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九、基本支出：</w:t>
      </w:r>
      <w:r>
        <w:rPr>
          <w:rFonts w:hint="eastAsia" w:ascii="仿宋_GB2312" w:hAnsi="仿宋_GB2312" w:eastAsia="仿宋_GB2312" w:cs="仿宋_GB2312"/>
          <w:sz w:val="32"/>
          <w:szCs w:val="32"/>
          <w:lang w:val="en-US" w:eastAsia="zh-CN"/>
        </w:rPr>
        <w:t>指为保证机构正常运转，完成日常工作任务而发生的人员支出和公用支出。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十、项目支出：</w:t>
      </w:r>
      <w:r>
        <w:rPr>
          <w:rFonts w:hint="eastAsia" w:ascii="仿宋_GB2312" w:hAnsi="仿宋_GB2312" w:eastAsia="仿宋_GB2312" w:cs="仿宋_GB2312"/>
          <w:sz w:val="32"/>
          <w:szCs w:val="32"/>
          <w:lang w:val="en-US" w:eastAsia="zh-CN"/>
        </w:rPr>
        <w:t>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黑体" w:hAnsi="黑体" w:eastAsia="黑体" w:cs="黑体"/>
          <w:sz w:val="32"/>
          <w:szCs w:val="32"/>
          <w:lang w:val="en-US" w:eastAsia="zh-CN"/>
        </w:rPr>
        <w:t>十一、“三公”经费：</w:t>
      </w:r>
      <w:r>
        <w:rPr>
          <w:rFonts w:hint="eastAsia" w:ascii="仿宋_GB2312" w:hAnsi="仿宋_GB2312" w:eastAsia="仿宋_GB2312" w:cs="仿宋_GB2312"/>
          <w:sz w:val="32"/>
          <w:szCs w:val="32"/>
          <w:lang w:val="en-US" w:eastAsia="zh-CN"/>
        </w:rPr>
        <w:t>纳入市级财政预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2" w:firstLineChars="200"/>
        <w:textAlignment w:val="auto"/>
        <w:rPr>
          <w:rFonts w:hint="eastAsia" w:ascii="仿宋_GB2312" w:hAnsi="仿宋_GB2312" w:eastAsia="仿宋_GB2312" w:cs="仿宋_GB2312"/>
          <w:b/>
          <w:bCs/>
          <w:sz w:val="32"/>
          <w:szCs w:val="32"/>
          <w:lang w:val="en-US" w:eastAsia="zh-CN"/>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0" w:leftChars="0" w:right="0" w:firstLine="0" w:firstLineChars="0"/>
        <w:jc w:val="center"/>
        <w:rPr>
          <w:rFonts w:hint="eastAsia" w:ascii="方正小标宋简体" w:hAnsi="方正小标宋简体" w:eastAsia="方正小标宋简体" w:cs="方正小标宋简体"/>
          <w:b w:val="0"/>
          <w:bCs w:val="0"/>
          <w:i w:val="0"/>
          <w:caps w:val="0"/>
          <w:color w:val="000000" w:themeColor="text1"/>
          <w:spacing w:val="0"/>
          <w:kern w:val="0"/>
          <w:sz w:val="40"/>
          <w:szCs w:val="40"/>
          <w:highlight w:val="none"/>
          <w:shd w:val="clear" w:color="auto" w:fill="FFFFFF"/>
          <w:lang w:val="en-US" w:eastAsia="zh-CN" w:bidi="ar"/>
          <w14:textFill>
            <w14:solidFill>
              <w14:schemeClr w14:val="tx1"/>
            </w14:solidFill>
          </w14:textFill>
        </w:rPr>
      </w:pPr>
      <w:r>
        <w:rPr>
          <w:rFonts w:hint="eastAsia" w:ascii="方正小标宋简体" w:hAnsi="方正小标宋简体" w:eastAsia="方正小标宋简体" w:cs="方正小标宋简体"/>
          <w:b w:val="0"/>
          <w:bCs w:val="0"/>
          <w:i w:val="0"/>
          <w:caps w:val="0"/>
          <w:color w:val="000000" w:themeColor="text1"/>
          <w:spacing w:val="0"/>
          <w:kern w:val="0"/>
          <w:sz w:val="40"/>
          <w:szCs w:val="40"/>
          <w:highlight w:val="none"/>
          <w:shd w:val="clear" w:color="auto" w:fill="FFFFFF"/>
          <w:lang w:val="en-US" w:eastAsia="zh-CN" w:bidi="ar"/>
          <w14:textFill>
            <w14:solidFill>
              <w14:schemeClr w14:val="tx1"/>
            </w14:solidFill>
          </w14:textFill>
        </w:rPr>
        <w:t>广元市政务服务和公共资源交易中心2025年单位预算表</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80" w:lineRule="atLeast"/>
        <w:ind w:leftChars="0" w:right="0" w:rightChars="0"/>
        <w:jc w:val="both"/>
        <w:rPr>
          <w:rFonts w:hint="eastAsia" w:ascii="方正小标宋简体" w:hAnsi="方正小标宋简体" w:eastAsia="方正小标宋简体" w:cs="方正小标宋简体"/>
          <w:b w:val="0"/>
          <w:bCs w:val="0"/>
          <w:i w:val="0"/>
          <w:caps w:val="0"/>
          <w:color w:val="000000" w:themeColor="text1"/>
          <w:spacing w:val="0"/>
          <w:kern w:val="0"/>
          <w:sz w:val="44"/>
          <w:szCs w:val="44"/>
          <w:highlight w:val="none"/>
          <w:shd w:val="clear" w:color="auto" w:fill="FFFFFF"/>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1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10"/>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sectPr>
          <w:pgSz w:w="11906" w:h="16838"/>
          <w:pgMar w:top="2098" w:right="1474" w:bottom="1984" w:left="1587"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8"/>
        <w:tblW w:w="12279" w:type="dxa"/>
        <w:tblInd w:w="6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5" w:hRule="atLeast"/>
        </w:trPr>
        <w:tc>
          <w:tcPr>
            <w:tcW w:w="12279" w:type="dxa"/>
            <w:tcBorders>
              <w:top w:val="single" w:color="FFFFFF" w:sz="4" w:space="0"/>
              <w:left w:val="single" w:color="FFFFFF" w:sz="4" w:space="0"/>
              <w:bottom w:val="single" w:color="FFFFFF" w:sz="4" w:space="0"/>
              <w:right w:val="single" w:color="FFFFFF"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方正黑体简体" w:hAnsi="方正黑体简体" w:eastAsia="方正黑体简体" w:cs="方正黑体简体"/>
                <w:i w:val="0"/>
                <w:iCs w:val="0"/>
                <w:color w:val="000000"/>
                <w:kern w:val="0"/>
                <w:sz w:val="24"/>
                <w:szCs w:val="24"/>
                <w:u w:val="none"/>
                <w:lang w:val="en-US" w:eastAsia="zh-CN" w:bidi="ar"/>
              </w:rPr>
            </w:pPr>
            <w:r>
              <w:rPr>
                <w:rFonts w:hint="default" w:ascii="方正黑体简体" w:hAnsi="方正黑体简体" w:eastAsia="方正黑体简体" w:cs="方正黑体简体"/>
                <w:i w:val="0"/>
                <w:iCs w:val="0"/>
                <w:color w:val="000000"/>
                <w:kern w:val="0"/>
                <w:sz w:val="24"/>
                <w:szCs w:val="24"/>
                <w:u w:val="none"/>
                <w:lang w:val="en-US" w:eastAsia="zh-CN" w:bidi="ar"/>
              </w:rPr>
              <w:t>附表1</w:t>
            </w:r>
            <w:r>
              <w:rPr>
                <w:rFonts w:hint="eastAsia" w:ascii="方正黑体简体" w:hAnsi="方正黑体简体" w:eastAsia="方正黑体简体" w:cs="方正黑体简体"/>
                <w:i w:val="0"/>
                <w:iCs w:val="0"/>
                <w:color w:val="000000"/>
                <w:kern w:val="0"/>
                <w:sz w:val="24"/>
                <w:szCs w:val="24"/>
                <w:u w:val="none"/>
                <w:lang w:val="en-US" w:eastAsia="zh-CN" w:bidi="ar"/>
              </w:rPr>
              <w:t xml:space="preserve">                                                                           </w:t>
            </w:r>
            <w:r>
              <w:rPr>
                <w:rFonts w:hint="eastAsia" w:ascii="Calibri" w:hAnsi="Calibri" w:eastAsia="宋体" w:cs="Times New Roman"/>
                <w:color w:val="auto"/>
                <w:kern w:val="2"/>
                <w:sz w:val="21"/>
                <w:szCs w:val="24"/>
                <w:lang w:val="en-US" w:eastAsia="zh-CN" w:bidi="ar-SA"/>
              </w:rPr>
              <w:t xml:space="preserve">    </w:t>
            </w:r>
            <w:r>
              <w:rPr>
                <w:rFonts w:hint="eastAsia" w:eastAsia="宋体" w:cs="Times New Roman"/>
                <w:color w:val="auto"/>
                <w:kern w:val="2"/>
                <w:sz w:val="21"/>
                <w:szCs w:val="24"/>
                <w:lang w:val="en-US" w:eastAsia="zh-CN" w:bidi="ar-SA"/>
              </w:rPr>
              <w:t xml:space="preserve">    </w:t>
            </w:r>
            <w:r>
              <w:rPr>
                <w:rFonts w:hint="eastAsia" w:ascii="Calibri" w:hAnsi="Calibri" w:eastAsia="宋体" w:cs="Times New Roman"/>
                <w:color w:val="auto"/>
                <w:kern w:val="2"/>
                <w:sz w:val="21"/>
                <w:szCs w:val="24"/>
                <w:lang w:val="en-US" w:eastAsia="zh-CN" w:bidi="ar-SA"/>
              </w:rPr>
              <w:t xml:space="preserve">    表1</w:t>
            </w:r>
          </w:p>
          <w:p>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b/>
                <w:bCs/>
                <w:i w:val="0"/>
                <w:iCs w:val="0"/>
                <w:color w:val="000000"/>
                <w:kern w:val="0"/>
                <w:sz w:val="32"/>
                <w:szCs w:val="32"/>
                <w:u w:val="none"/>
                <w:lang w:val="en-US" w:eastAsia="zh-CN" w:bidi="ar"/>
              </w:rPr>
            </w:pPr>
            <w:r>
              <w:rPr>
                <w:rFonts w:hint="eastAsia" w:ascii="黑体" w:hAnsi="宋体" w:eastAsia="黑体" w:cs="黑体"/>
                <w:b/>
                <w:bCs/>
                <w:i w:val="0"/>
                <w:iCs w:val="0"/>
                <w:color w:val="000000"/>
                <w:kern w:val="0"/>
                <w:sz w:val="32"/>
                <w:szCs w:val="32"/>
                <w:u w:val="none"/>
                <w:lang w:val="en-US" w:eastAsia="zh-CN" w:bidi="ar"/>
              </w:rPr>
              <w:t>部门收支总表</w:t>
            </w:r>
          </w:p>
          <w:p>
            <w:pPr>
              <w:pStyle w:val="10"/>
              <w:keepNext w:val="0"/>
              <w:keepLines w:val="0"/>
              <w:suppressLineNumbers w:val="0"/>
              <w:spacing w:before="0" w:beforeAutospacing="0" w:afterAutospacing="0"/>
              <w:ind w:left="0" w:leftChars="0" w:right="0" w:firstLine="0" w:firstLineChars="0"/>
              <w:rPr>
                <w:rFonts w:hint="eastAsia"/>
                <w:lang w:val="en-US" w:eastAsia="zh-CN"/>
              </w:rPr>
            </w:pPr>
            <w:r>
              <w:rPr>
                <w:rFonts w:hint="eastAsia"/>
                <w:lang w:val="en-US" w:eastAsia="zh-CN"/>
              </w:rPr>
              <w:t xml:space="preserve">                                                                                             金额单位:万元 </w:t>
            </w:r>
          </w:p>
          <w:tbl>
            <w:tblPr>
              <w:tblStyle w:val="8"/>
              <w:tblW w:w="13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78"/>
              <w:gridCol w:w="1829"/>
              <w:gridCol w:w="4126"/>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jc w:val="center"/>
              </w:trPr>
              <w:tc>
                <w:tcPr>
                  <w:tcW w:w="6585" w:type="dxa"/>
                  <w:gridSpan w:val="2"/>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6420" w:type="dxa"/>
                  <w:gridSpan w:val="2"/>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一、一般公共预算拨款收入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一、一般公共服务支出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二、政府性基金预算拨款收入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二、外交支出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三、国有资本经营预算拨款收入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三、国防支出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四、事业收入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四、公共安全支出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五、事业单位经营收入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五、教育支出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六、其他收入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六、科学技术支出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七、文化旅游体育与传媒支出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八、社会保障和就业支出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九、社会保险基金支出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十、卫生健康支出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十一、节能环保支出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十二、城乡社区支出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十三、农林水支出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十四、交通运输支出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十五、资源勘探工业信息等支出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十六、商业服务业等支出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十七、金融支出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十八、援助其他地区支出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十九、自然资源海洋气象等支出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二十、住房保障支出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二十一、粮油物资储备支出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二十二、国有资本经营预算支出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二十三、灾害防治及应急管理支出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二十四、其他支出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二十五、债务还本支出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二十六、债务付息支出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二十七、债务发行费用支出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二十八、抗疫特别国债安排的支出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4620"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default" w:ascii="Dialog . bold" w:hAnsi="Dialog . bold" w:eastAsia="Dialog . bold" w:cs="Dialog . bold"/>
                      <w:b/>
                      <w:i w:val="0"/>
                      <w:color w:val="000000"/>
                      <w:kern w:val="0"/>
                      <w:sz w:val="22"/>
                      <w:szCs w:val="22"/>
                      <w:u w:val="none"/>
                      <w:lang w:val="en-US" w:eastAsia="zh-CN" w:bidi="ar"/>
                    </w:rPr>
                    <w:t>本 年 收 入 合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44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default" w:ascii="Dialog . bold" w:hAnsi="Dialog . bold" w:eastAsia="Dialog . bold" w:cs="Dialog . bold"/>
                      <w:b/>
                      <w:i w:val="0"/>
                      <w:color w:val="000000"/>
                      <w:kern w:val="0"/>
                      <w:sz w:val="22"/>
                      <w:szCs w:val="22"/>
                      <w:u w:val="none"/>
                      <w:lang w:val="en-US" w:eastAsia="zh-CN" w:bidi="ar"/>
                    </w:rPr>
                    <w:t>本 年 支 出 合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七、上年结转</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  总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  总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r>
          </w:tbl>
          <w:p>
            <w:pPr>
              <w:pStyle w:val="10"/>
              <w:keepNext w:val="0"/>
              <w:keepLines w:val="0"/>
              <w:suppressLineNumbers w:val="0"/>
              <w:spacing w:before="0" w:beforeAutospacing="0" w:afterAutospacing="0"/>
              <w:ind w:right="0"/>
              <w:rPr>
                <w:rFonts w:hint="eastAsia"/>
                <w:lang w:val="en-US" w:eastAsia="zh-CN"/>
              </w:rPr>
            </w:pPr>
            <w:r>
              <w:rPr>
                <w:rFonts w:hint="eastAsia"/>
                <w:lang w:val="en-US" w:eastAsia="zh-CN"/>
              </w:rPr>
              <w:t xml:space="preserve"> </w:t>
            </w:r>
          </w:p>
          <w:p>
            <w:pPr>
              <w:keepNext w:val="0"/>
              <w:keepLines w:val="0"/>
              <w:suppressLineNumbers w:val="0"/>
              <w:spacing w:before="0" w:beforeAutospacing="0" w:after="0" w:afterAutospacing="0"/>
              <w:ind w:left="0" w:right="0"/>
              <w:rPr>
                <w:rFonts w:hint="default"/>
              </w:rPr>
            </w:pPr>
          </w:p>
        </w:tc>
      </w:tr>
    </w:tbl>
    <w:p>
      <w:pPr>
        <w:spacing w:line="576" w:lineRule="exact"/>
        <w:rPr>
          <w:rFonts w:hint="eastAsia" w:ascii="方正黑体简体" w:hAnsi="方正黑体简体" w:eastAsia="方正黑体简体" w:cs="方正黑体简体"/>
          <w:color w:val="000000"/>
          <w:kern w:val="0"/>
          <w:sz w:val="24"/>
        </w:rPr>
      </w:pPr>
    </w:p>
    <w:p>
      <w:pPr>
        <w:spacing w:line="576" w:lineRule="exact"/>
        <w:rPr>
          <w:rFonts w:hint="eastAsia" w:ascii="方正黑体简体" w:hAnsi="方正黑体简体" w:eastAsia="方正黑体简体" w:cs="方正黑体简体"/>
          <w:color w:val="000000"/>
          <w:kern w:val="0"/>
          <w:sz w:val="24"/>
        </w:rPr>
      </w:pPr>
    </w:p>
    <w:p>
      <w:pPr>
        <w:spacing w:line="576" w:lineRule="exact"/>
        <w:rPr>
          <w:rFonts w:hint="eastAsia" w:ascii="方正黑体简体" w:hAnsi="方正黑体简体" w:eastAsia="方正黑体简体" w:cs="方正黑体简体"/>
          <w:color w:val="000000"/>
          <w:kern w:val="0"/>
          <w:sz w:val="24"/>
        </w:rPr>
      </w:pPr>
    </w:p>
    <w:p>
      <w:pPr>
        <w:spacing w:line="576" w:lineRule="exact"/>
        <w:rPr>
          <w:rFonts w:hint="eastAsia" w:ascii="仿宋_GB2312" w:hAnsi="仿宋_GB2312" w:eastAsia="仿宋_GB2312" w:cs="仿宋_GB2312"/>
          <w:sz w:val="32"/>
          <w:szCs w:val="32"/>
        </w:rPr>
      </w:pPr>
      <w:r>
        <w:rPr>
          <w:rFonts w:hint="eastAsia" w:ascii="方正黑体简体" w:hAnsi="方正黑体简体" w:eastAsia="方正黑体简体" w:cs="方正黑体简体"/>
          <w:color w:val="000000"/>
          <w:kern w:val="0"/>
          <w:sz w:val="24"/>
        </w:rPr>
        <w:t>附表2</w:t>
      </w:r>
      <w:r>
        <w:rPr>
          <w:rFonts w:hint="eastAsia" w:ascii="方正黑体简体" w:hAnsi="方正黑体简体" w:eastAsia="方正黑体简体" w:cs="方正黑体简体"/>
          <w:color w:val="000000"/>
          <w:kern w:val="0"/>
          <w:sz w:val="24"/>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宋体" w:hAnsi="宋体" w:eastAsia="宋体" w:cs="宋体"/>
          <w:color w:val="000000"/>
          <w:kern w:val="0"/>
          <w:sz w:val="22"/>
          <w:szCs w:val="22"/>
        </w:rPr>
        <w:t>表1-1</w:t>
      </w:r>
    </w:p>
    <w:p>
      <w:pPr>
        <w:widowControl/>
        <w:jc w:val="center"/>
        <w:textAlignment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部门收入总表</w:t>
      </w:r>
    </w:p>
    <w:p>
      <w:pPr>
        <w:spacing w:line="576" w:lineRule="exact"/>
        <w:rPr>
          <w:rFonts w:hint="eastAsia"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金额单位：万元</w:t>
      </w:r>
    </w:p>
    <w:tbl>
      <w:tblPr>
        <w:tblStyle w:val="8"/>
        <w:tblW w:w="5671" w:type="pct"/>
        <w:tblInd w:w="-4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1170"/>
        <w:gridCol w:w="2805"/>
        <w:gridCol w:w="1410"/>
        <w:gridCol w:w="840"/>
        <w:gridCol w:w="1335"/>
        <w:gridCol w:w="960"/>
        <w:gridCol w:w="1195"/>
        <w:gridCol w:w="831"/>
        <w:gridCol w:w="831"/>
        <w:gridCol w:w="834"/>
        <w:gridCol w:w="834"/>
        <w:gridCol w:w="815"/>
        <w:gridCol w:w="8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2" w:hRule="atLeast"/>
        </w:trPr>
        <w:tc>
          <w:tcPr>
            <w:tcW w:w="1350" w:type="pct"/>
            <w:gridSpan w:val="2"/>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    目</w:t>
            </w:r>
          </w:p>
        </w:tc>
        <w:tc>
          <w:tcPr>
            <w:tcW w:w="479"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285"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上年结转</w:t>
            </w:r>
          </w:p>
        </w:tc>
        <w:tc>
          <w:tcPr>
            <w:tcW w:w="453"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一般公共预算拨款收入</w:t>
            </w:r>
          </w:p>
        </w:tc>
        <w:tc>
          <w:tcPr>
            <w:tcW w:w="326"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政府性基金预算拨款收入</w:t>
            </w:r>
          </w:p>
        </w:tc>
        <w:tc>
          <w:tcPr>
            <w:tcW w:w="406"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国有资本经营预算拨款收入</w:t>
            </w:r>
          </w:p>
        </w:tc>
        <w:tc>
          <w:tcPr>
            <w:tcW w:w="282"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事业收入</w:t>
            </w:r>
          </w:p>
        </w:tc>
        <w:tc>
          <w:tcPr>
            <w:tcW w:w="282"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 xml:space="preserve">事业单位经营收入 </w:t>
            </w:r>
          </w:p>
        </w:tc>
        <w:tc>
          <w:tcPr>
            <w:tcW w:w="283"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其他收入</w:t>
            </w:r>
          </w:p>
        </w:tc>
        <w:tc>
          <w:tcPr>
            <w:tcW w:w="283"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上级补助收入</w:t>
            </w:r>
          </w:p>
        </w:tc>
        <w:tc>
          <w:tcPr>
            <w:tcW w:w="276"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附属单位上缴收入</w:t>
            </w:r>
          </w:p>
        </w:tc>
        <w:tc>
          <w:tcPr>
            <w:tcW w:w="289" w:type="pct"/>
            <w:vMerge w:val="restar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财政专户管理资金收入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9" w:hRule="atLeast"/>
        </w:trPr>
        <w:tc>
          <w:tcPr>
            <w:tcW w:w="397" w:type="pc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单位代码</w:t>
            </w:r>
          </w:p>
        </w:tc>
        <w:tc>
          <w:tcPr>
            <w:tcW w:w="953" w:type="pct"/>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单位名称（科目）</w:t>
            </w:r>
          </w:p>
        </w:tc>
        <w:tc>
          <w:tcPr>
            <w:tcW w:w="479"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5"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453"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326"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406"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2"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2"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3"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3"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76"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289" w:type="pct"/>
            <w:vMerge w:val="continue"/>
            <w:tcBorders>
              <w:top w:val="single" w:color="C2C3C4" w:sz="4" w:space="0"/>
              <w:left w:val="single" w:color="C2C3C4" w:sz="4" w:space="0"/>
              <w:bottom w:val="single" w:color="C2C3C4" w:sz="4" w:space="0"/>
              <w:right w:val="single" w:color="C2C3C4" w:sz="4" w:space="0"/>
            </w:tcBorders>
            <w:shd w:val="clear" w:color="auto"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397"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9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    计</w:t>
            </w:r>
          </w:p>
        </w:tc>
        <w:tc>
          <w:tcPr>
            <w:tcW w:w="47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456.05</w:t>
            </w:r>
          </w:p>
        </w:tc>
        <w:tc>
          <w:tcPr>
            <w:tcW w:w="285"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4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456.05</w:t>
            </w:r>
          </w:p>
        </w:tc>
        <w:tc>
          <w:tcPr>
            <w:tcW w:w="32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40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7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28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97"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1"/>
                <w:szCs w:val="21"/>
                <w:u w:val="none"/>
              </w:rPr>
            </w:pPr>
          </w:p>
        </w:tc>
        <w:tc>
          <w:tcPr>
            <w:tcW w:w="9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1"/>
                <w:szCs w:val="21"/>
                <w:u w:val="none"/>
              </w:rPr>
            </w:pPr>
          </w:p>
        </w:tc>
        <w:tc>
          <w:tcPr>
            <w:tcW w:w="47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456.05</w:t>
            </w:r>
          </w:p>
        </w:tc>
        <w:tc>
          <w:tcPr>
            <w:tcW w:w="285"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4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456.05</w:t>
            </w:r>
          </w:p>
        </w:tc>
        <w:tc>
          <w:tcPr>
            <w:tcW w:w="32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40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7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trPr>
        <w:tc>
          <w:tcPr>
            <w:tcW w:w="397"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635602</w:t>
            </w:r>
          </w:p>
        </w:tc>
        <w:tc>
          <w:tcPr>
            <w:tcW w:w="9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广元市政务服务和公共资源交易中心</w:t>
            </w:r>
          </w:p>
        </w:tc>
        <w:tc>
          <w:tcPr>
            <w:tcW w:w="47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456.05</w:t>
            </w:r>
          </w:p>
        </w:tc>
        <w:tc>
          <w:tcPr>
            <w:tcW w:w="285"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45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456.05</w:t>
            </w:r>
          </w:p>
        </w:tc>
        <w:tc>
          <w:tcPr>
            <w:tcW w:w="32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40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2"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3"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76"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289" w:type="pct"/>
            <w:tcBorders>
              <w:top w:val="single" w:color="C2C3C4" w:sz="4" w:space="0"/>
              <w:left w:val="single" w:color="C2C3C4" w:sz="4" w:space="0"/>
              <w:bottom w:val="single" w:color="C2C3C4" w:sz="4" w:space="0"/>
              <w:right w:val="single" w:color="C2C3C4" w:sz="4" w:space="0"/>
            </w:tcBorders>
            <w:shd w:val="clear" w:color="auto"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rPr>
      </w:pPr>
      <w:r>
        <w:rPr>
          <w:rFonts w:hint="eastAsia" w:ascii="方正黑体简体" w:hAnsi="方正黑体简体" w:eastAsia="方正黑体简体" w:cs="方正黑体简体"/>
          <w:color w:val="000000"/>
          <w:kern w:val="0"/>
          <w:sz w:val="24"/>
        </w:rPr>
        <w:t>附表3</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ab/>
      </w:r>
      <w:r>
        <w:rPr>
          <w:rFonts w:hint="eastAsia" w:ascii="宋体" w:hAnsi="宋体" w:eastAsia="宋体" w:cs="宋体"/>
          <w:color w:val="000000"/>
          <w:kern w:val="0"/>
          <w:sz w:val="22"/>
          <w:szCs w:val="22"/>
        </w:rPr>
        <w:t>表1-2</w:t>
      </w:r>
    </w:p>
    <w:p>
      <w:pPr>
        <w:widowControl/>
        <w:jc w:val="center"/>
        <w:textAlignment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部门支出总表</w:t>
      </w:r>
    </w:p>
    <w:p>
      <w:pPr>
        <w:keepNext w:val="0"/>
        <w:keepLines w:val="0"/>
        <w:pageBreakBefore w:val="0"/>
        <w:kinsoku/>
        <w:wordWrap/>
        <w:overflowPunct/>
        <w:topLinePunct w:val="0"/>
        <w:autoSpaceDE/>
        <w:autoSpaceDN/>
        <w:bidi w:val="0"/>
        <w:adjustRightInd/>
        <w:snapToGrid/>
        <w:spacing w:line="500" w:lineRule="exact"/>
        <w:rPr>
          <w:rFonts w:hint="eastAsia"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金额单位：万元</w:t>
      </w:r>
    </w:p>
    <w:tbl>
      <w:tblPr>
        <w:tblStyle w:val="8"/>
        <w:tblW w:w="129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5"/>
        <w:gridCol w:w="596"/>
        <w:gridCol w:w="596"/>
        <w:gridCol w:w="1500"/>
        <w:gridCol w:w="4421"/>
        <w:gridCol w:w="1687"/>
        <w:gridCol w:w="1687"/>
        <w:gridCol w:w="16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7858" w:type="dxa"/>
            <w:gridSpan w:val="5"/>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1687"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687"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1687"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1687"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371.82</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left"/>
              <w:rPr>
                <w:rFonts w:hint="eastAsia" w:ascii="宋体" w:hAnsi="宋体" w:eastAsia="宋体" w:cs="宋体"/>
                <w:i w:val="0"/>
                <w:color w:val="000000"/>
                <w:sz w:val="22"/>
                <w:szCs w:val="22"/>
                <w:u w:val="none"/>
              </w:rPr>
            </w:pP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广元市政务服务和公共资源交易中心</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事业运行</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288.93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288.93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其他政府办公厅（室）及相关机构事务支出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事业单位离退休</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机关事业单位基本养老保险缴费支出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其他社会保障和就业支出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事业单位医疗</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01"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住房公积金</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00" w:lineRule="exact"/>
              <w:ind w:left="0" w:right="0"/>
              <w:jc w:val="right"/>
              <w:rPr>
                <w:rFonts w:hint="eastAsia" w:ascii="宋体" w:hAnsi="宋体" w:eastAsia="宋体" w:cs="宋体"/>
                <w:i w:val="0"/>
                <w:color w:val="000000"/>
                <w:sz w:val="22"/>
                <w:szCs w:val="22"/>
                <w:u w:val="none"/>
              </w:rPr>
            </w:pPr>
          </w:p>
        </w:tc>
      </w:tr>
    </w:tbl>
    <w:p>
      <w:pPr>
        <w:spacing w:line="576" w:lineRule="exact"/>
        <w:rPr>
          <w:rFonts w:hint="default" w:ascii="Calibri" w:hAnsi="Calibri" w:eastAsia="宋体" w:cs="Times New Roman"/>
          <w:kern w:val="2"/>
          <w:sz w:val="21"/>
          <w:szCs w:val="24"/>
          <w:lang w:val="en-US" w:eastAsia="zh-CN" w:bidi="ar-SA"/>
        </w:rPr>
      </w:pPr>
      <w:r>
        <w:rPr>
          <w:rFonts w:hint="eastAsia" w:ascii="方正黑体简体" w:hAnsi="方正黑体简体" w:eastAsia="方正黑体简体" w:cs="方正黑体简体"/>
          <w:color w:val="000000"/>
          <w:kern w:val="0"/>
          <w:sz w:val="24"/>
          <w:lang w:val="en-US" w:eastAsia="zh-CN"/>
        </w:rPr>
        <w:t>附表4</w:t>
      </w:r>
      <w:r>
        <w:rPr>
          <w:rFonts w:hint="eastAsia" w:ascii="方正黑体简体" w:hAnsi="方正黑体简体" w:eastAsia="方正黑体简体" w:cs="方正黑体简体"/>
          <w:color w:val="000000"/>
          <w:kern w:val="0"/>
          <w:sz w:val="24"/>
          <w:lang w:val="en-US" w:eastAsia="zh-CN"/>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cs="Times New Roman"/>
          <w:kern w:val="2"/>
          <w:sz w:val="21"/>
          <w:szCs w:val="24"/>
          <w:lang w:val="en-US" w:eastAsia="zh-CN" w:bidi="ar-SA"/>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ab/>
      </w:r>
      <w:r>
        <w:rPr>
          <w:rFonts w:hint="eastAsia" w:ascii="宋体" w:hAnsi="宋体" w:eastAsia="宋体" w:cs="宋体"/>
          <w:color w:val="000000"/>
          <w:kern w:val="0"/>
          <w:sz w:val="22"/>
          <w:szCs w:val="22"/>
        </w:rPr>
        <w:t>表2</w:t>
      </w:r>
    </w:p>
    <w:p>
      <w:pPr>
        <w:widowControl/>
        <w:jc w:val="center"/>
        <w:textAlignment w:val="cente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财政拨款收支预算总表</w:t>
      </w:r>
    </w:p>
    <w:p>
      <w:pPr>
        <w:spacing w:line="576" w:lineRule="exact"/>
        <w:rPr>
          <w:rFonts w:hint="eastAsia"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ascii="Calibri" w:hAnsi="Calibri" w:eastAsia="宋体" w:cs="Times New Roman"/>
          <w:kern w:val="2"/>
          <w:sz w:val="21"/>
          <w:szCs w:val="24"/>
          <w:lang w:val="en-US" w:eastAsia="zh-CN" w:bidi="ar-SA"/>
        </w:rPr>
        <w:t>金额单位：万元</w:t>
      </w:r>
    </w:p>
    <w:tbl>
      <w:tblPr>
        <w:tblStyle w:val="8"/>
        <w:tblW w:w="129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78"/>
        <w:gridCol w:w="1412"/>
        <w:gridCol w:w="2525"/>
        <w:gridCol w:w="876"/>
        <w:gridCol w:w="1542"/>
        <w:gridCol w:w="1763"/>
        <w:gridCol w:w="1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290" w:type="dxa"/>
            <w:gridSpan w:val="2"/>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8689" w:type="dxa"/>
            <w:gridSpan w:val="5"/>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一、本年收入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一、本年支出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一般公共预算拨款收入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一般公共服务支出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373.16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373.16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政府性基金预算拨款收入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外交支出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国有资本经营预算拨款收入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国防支出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二、上年结转</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公共安全支出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一般公共预算拨款收入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教育支出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政府性基金预算拨款收入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科学技术支出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国有资本经营预算拨款收入</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文化旅游体育与传媒支出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社会保障和就业支出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41.62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41.62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社会保险基金支出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卫生健康支出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节能环保支出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城乡社区支出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农林水支出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交通运输支出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资源勘探工业信息等支出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商业服务业等支出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金融支出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援助其他地区支出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自然资源海洋气象等支出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住房保障支出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粮油物资储备支出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国有资本经营预算支出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灾害防治及应急管理支出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债务还本支出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债务付息支出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债务发行费用支出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jc w:val="center"/>
        </w:trPr>
        <w:tc>
          <w:tcPr>
            <w:tcW w:w="287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2711"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抗疫特别国债安排的支出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rPr>
          <w:rFonts w:hint="default" w:ascii="方正黑体简体" w:hAnsi="方正黑体简体" w:eastAsia="宋体" w:cs="方正黑体简体"/>
          <w:color w:val="000000"/>
          <w:kern w:val="0"/>
          <w:sz w:val="24"/>
          <w:lang w:val="en-US" w:eastAsia="zh-CN"/>
        </w:rPr>
      </w:pPr>
      <w:r>
        <w:rPr>
          <w:rFonts w:hint="eastAsia" w:ascii="方正黑体简体" w:hAnsi="方正黑体简体" w:eastAsia="方正黑体简体" w:cs="方正黑体简体"/>
          <w:color w:val="000000"/>
          <w:kern w:val="0"/>
          <w:sz w:val="24"/>
        </w:rPr>
        <w:t>附表5</w:t>
      </w:r>
      <w:r>
        <w:rPr>
          <w:rFonts w:hint="eastAsia" w:ascii="方正黑体简体" w:hAnsi="方正黑体简体" w:eastAsia="方正黑体简体" w:cs="方正黑体简体"/>
          <w:color w:val="000000"/>
          <w:kern w:val="0"/>
          <w:sz w:val="24"/>
          <w:lang w:val="en-US" w:eastAsia="zh-CN"/>
        </w:rPr>
        <w:t xml:space="preserve">                                                                                         </w:t>
      </w:r>
      <w:r>
        <w:rPr>
          <w:rFonts w:hint="eastAsia" w:ascii="宋体" w:hAnsi="宋体" w:eastAsia="宋体" w:cs="宋体"/>
          <w:color w:val="000000"/>
          <w:kern w:val="0"/>
          <w:sz w:val="22"/>
          <w:szCs w:val="22"/>
        </w:rPr>
        <w:t>表2</w:t>
      </w:r>
      <w:r>
        <w:rPr>
          <w:rFonts w:hint="eastAsia" w:ascii="宋体" w:hAnsi="宋体" w:eastAsia="宋体" w:cs="宋体"/>
          <w:color w:val="000000"/>
          <w:kern w:val="0"/>
          <w:sz w:val="22"/>
          <w:szCs w:val="22"/>
          <w:lang w:val="en-US" w:eastAsia="zh-CN"/>
        </w:rPr>
        <w:t>-1</w:t>
      </w:r>
    </w:p>
    <w:p>
      <w:pPr>
        <w:widowControl/>
        <w:jc w:val="center"/>
        <w:textAlignment w:val="center"/>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财政拨款支出预算表（部门经济分类科目）</w:t>
      </w:r>
    </w:p>
    <w:p>
      <w:pPr>
        <w:spacing w:line="576" w:lineRule="exact"/>
        <w:rPr>
          <w:rFonts w:hint="eastAsia" w:ascii="Calibri" w:hAnsi="Calibri" w:eastAsia="宋体" w:cs="Times New Roman"/>
          <w:kern w:val="2"/>
          <w:sz w:val="21"/>
          <w:szCs w:val="24"/>
          <w:lang w:val="en-US" w:eastAsia="zh-CN" w:bidi="ar-SA"/>
        </w:rPr>
      </w:pP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金额单位：万元</w:t>
      </w:r>
    </w:p>
    <w:tbl>
      <w:tblPr>
        <w:tblStyle w:val="8"/>
        <w:tblW w:w="145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8"/>
        <w:gridCol w:w="479"/>
        <w:gridCol w:w="895"/>
        <w:gridCol w:w="1373"/>
        <w:gridCol w:w="882"/>
        <w:gridCol w:w="882"/>
        <w:gridCol w:w="882"/>
        <w:gridCol w:w="882"/>
        <w:gridCol w:w="771"/>
        <w:gridCol w:w="437"/>
        <w:gridCol w:w="437"/>
        <w:gridCol w:w="437"/>
        <w:gridCol w:w="437"/>
        <w:gridCol w:w="437"/>
        <w:gridCol w:w="437"/>
        <w:gridCol w:w="448"/>
        <w:gridCol w:w="448"/>
        <w:gridCol w:w="448"/>
        <w:gridCol w:w="453"/>
        <w:gridCol w:w="448"/>
        <w:gridCol w:w="448"/>
        <w:gridCol w:w="453"/>
        <w:gridCol w:w="448"/>
        <w:gridCol w:w="448"/>
        <w:gridCol w:w="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jc w:val="center"/>
        </w:trPr>
        <w:tc>
          <w:tcPr>
            <w:tcW w:w="3305" w:type="dxa"/>
            <w:gridSpan w:val="4"/>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845" w:type="dxa"/>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949" w:type="dxa"/>
            <w:gridSpan w:val="10"/>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市级当年财政拨款安排</w:t>
            </w:r>
          </w:p>
        </w:tc>
        <w:tc>
          <w:tcPr>
            <w:tcW w:w="4499" w:type="dxa"/>
            <w:gridSpan w:val="10"/>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中央提前通知专项转移支付等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jc w:val="center"/>
        </w:trPr>
        <w:tc>
          <w:tcPr>
            <w:tcW w:w="1037" w:type="dxa"/>
            <w:gridSpan w:val="2"/>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895" w:type="dxa"/>
            <w:vMerge w:val="restart"/>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1373" w:type="dxa"/>
            <w:vMerge w:val="restart"/>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845" w:type="dxa"/>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845" w:type="dxa"/>
            <w:vMerge w:val="restart"/>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23"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一般公共预算拨款</w:t>
            </w:r>
          </w:p>
        </w:tc>
        <w:tc>
          <w:tcPr>
            <w:tcW w:w="1340"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政府性基金安排</w:t>
            </w:r>
          </w:p>
        </w:tc>
        <w:tc>
          <w:tcPr>
            <w:tcW w:w="1341"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国有资本经营预算安排</w:t>
            </w:r>
          </w:p>
        </w:tc>
        <w:tc>
          <w:tcPr>
            <w:tcW w:w="448" w:type="dxa"/>
            <w:vMerge w:val="restart"/>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349"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一般公共预算拨款</w:t>
            </w:r>
          </w:p>
        </w:tc>
        <w:tc>
          <w:tcPr>
            <w:tcW w:w="1349"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政府性基金安排</w:t>
            </w:r>
          </w:p>
        </w:tc>
        <w:tc>
          <w:tcPr>
            <w:tcW w:w="1353" w:type="dxa"/>
            <w:gridSpan w:val="3"/>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0"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895" w:type="dxa"/>
            <w:vMerge w:val="continue"/>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373" w:type="dxa"/>
            <w:vMerge w:val="continue"/>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845" w:type="dxa"/>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845" w:type="dxa"/>
            <w:vMerge w:val="continue"/>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84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84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7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446"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446"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446"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446"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4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448" w:type="dxa"/>
            <w:vMerge w:val="continue"/>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5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5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44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57"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84.23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广元市政务服务和公共资源交易中心</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工资福利支出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基本工资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晋级工资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基本工资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津贴补贴</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乡镇工作补贴</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其他津贴补贴（含工改、审计等）</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奖金</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基础绩效奖</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事业人员年度考核奖</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绩效工资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机关事业单位基本养老保险缴费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职工基本医疗保险缴费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其他社会保障缴费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失业保险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工伤保险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住房公积金</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83.43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办公费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邮电费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差旅费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维修（护）费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培训费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劳务费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委托业务费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工会经费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福利费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福利费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食堂补助经费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其他交通费用</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党建经费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退休人员活动经费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对个人和家庭的补助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303</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生活补助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303</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退休人员绩效补助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55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资本性支出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310</w:t>
            </w:r>
          </w:p>
        </w:tc>
        <w:tc>
          <w:tcPr>
            <w:tcW w:w="479"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137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办公设备购置</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p>
    <w:p>
      <w:pPr>
        <w:widowControl/>
        <w:jc w:val="both"/>
        <w:textAlignment w:val="center"/>
        <w:rPr>
          <w:rFonts w:hint="eastAsia" w:ascii="宋体" w:hAnsi="宋体" w:cs="宋体"/>
          <w:b/>
          <w:bCs/>
          <w:color w:val="000000"/>
          <w:kern w:val="0"/>
          <w:sz w:val="32"/>
          <w:szCs w:val="32"/>
        </w:rPr>
      </w:pPr>
      <w:r>
        <w:rPr>
          <w:rFonts w:hint="eastAsia" w:ascii="方正黑体简体" w:hAnsi="方正黑体简体" w:eastAsia="方正黑体简体" w:cs="方正黑体简体"/>
          <w:color w:val="000000"/>
          <w:kern w:val="0"/>
          <w:sz w:val="24"/>
        </w:rPr>
        <w:t>附表5</w:t>
      </w:r>
      <w:r>
        <w:rPr>
          <w:rFonts w:hint="eastAsia" w:ascii="方正黑体简体" w:hAnsi="方正黑体简体" w:eastAsia="方正黑体简体" w:cs="方正黑体简体"/>
          <w:color w:val="000000"/>
          <w:kern w:val="0"/>
          <w:sz w:val="24"/>
          <w:lang w:val="en-US" w:eastAsia="zh-CN"/>
        </w:rPr>
        <w:t xml:space="preserve">  </w:t>
      </w:r>
    </w:p>
    <w:p>
      <w:pPr>
        <w:widowControl/>
        <w:jc w:val="center"/>
        <w:textAlignment w:val="center"/>
        <w:rPr>
          <w:rFonts w:hint="eastAsia" w:ascii="宋体" w:hAnsi="宋体" w:cs="宋体"/>
          <w:b/>
          <w:bCs/>
          <w:color w:val="000000"/>
          <w:kern w:val="0"/>
          <w:sz w:val="32"/>
          <w:szCs w:val="32"/>
        </w:rPr>
      </w:pPr>
      <w:r>
        <w:rPr>
          <w:rFonts w:hint="eastAsia" w:ascii="宋体" w:hAnsi="宋体" w:cs="宋体"/>
          <w:b/>
          <w:bCs/>
          <w:color w:val="000000"/>
          <w:kern w:val="0"/>
          <w:sz w:val="32"/>
          <w:szCs w:val="32"/>
        </w:rPr>
        <w:t>财政拨款支出预算表（部门经济分类科目）</w:t>
      </w:r>
    </w:p>
    <w:p>
      <w:pPr>
        <w:spacing w:line="576" w:lineRule="exact"/>
        <w:rPr>
          <w:rFonts w:hint="eastAsia" w:ascii="Calibri" w:hAnsi="Calibri" w:eastAsia="宋体" w:cs="Times New Roman"/>
          <w:kern w:val="2"/>
          <w:sz w:val="21"/>
          <w:szCs w:val="24"/>
          <w:lang w:val="en-US" w:eastAsia="zh-CN" w:bidi="ar-SA"/>
        </w:rPr>
      </w:pP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ascii="Calibri" w:hAnsi="Calibri" w:eastAsia="宋体" w:cs="Times New Roman"/>
          <w:kern w:val="2"/>
          <w:sz w:val="21"/>
          <w:szCs w:val="24"/>
          <w:lang w:val="en-US" w:eastAsia="zh-CN" w:bidi="ar-SA"/>
        </w:rPr>
        <w:t>金额单位：万元</w:t>
      </w:r>
    </w:p>
    <w:tbl>
      <w:tblPr>
        <w:tblStyle w:val="8"/>
        <w:tblW w:w="1360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6"/>
        <w:gridCol w:w="726"/>
        <w:gridCol w:w="1206"/>
        <w:gridCol w:w="1206"/>
        <w:gridCol w:w="726"/>
        <w:gridCol w:w="1206"/>
        <w:gridCol w:w="1206"/>
        <w:gridCol w:w="726"/>
        <w:gridCol w:w="1206"/>
        <w:gridCol w:w="1206"/>
        <w:gridCol w:w="847"/>
        <w:gridCol w:w="1405"/>
        <w:gridCol w:w="12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3600" w:type="dxa"/>
            <w:gridSpan w:val="1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上年结转安排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0" w:type="auto"/>
            <w:gridSpan w:val="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一般公共预算拨款</w:t>
            </w:r>
          </w:p>
        </w:tc>
        <w:tc>
          <w:tcPr>
            <w:tcW w:w="0" w:type="auto"/>
            <w:gridSpan w:val="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政府性基金安排</w:t>
            </w:r>
          </w:p>
        </w:tc>
        <w:tc>
          <w:tcPr>
            <w:tcW w:w="0" w:type="auto"/>
            <w:gridSpan w:val="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国有资本经营预算安排</w:t>
            </w:r>
          </w:p>
        </w:tc>
        <w:tc>
          <w:tcPr>
            <w:tcW w:w="0" w:type="auto"/>
            <w:gridSpan w:val="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上年应返还额度结转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小计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基本支出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小计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基本支出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小计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基本支出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项目支出</w:t>
            </w: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小计</w:t>
            </w: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基本支出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744"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1235" w:type="dxa"/>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spacing w:line="576" w:lineRule="exact"/>
        <w:rPr>
          <w:rFonts w:hint="default" w:ascii="仿宋_GB2312" w:hAnsi="仿宋_GB2312" w:eastAsia="方正黑体简体" w:cs="仿宋_GB2312"/>
          <w:sz w:val="32"/>
          <w:szCs w:val="32"/>
          <w:lang w:val="en-US" w:eastAsia="zh-CN"/>
        </w:rPr>
      </w:pPr>
      <w:r>
        <w:rPr>
          <w:rFonts w:ascii="方正黑体简体" w:hAnsi="方正黑体简体" w:eastAsia="方正黑体简体" w:cs="方正黑体简体"/>
          <w:color w:val="000000"/>
          <w:kern w:val="0"/>
          <w:sz w:val="24"/>
        </w:rPr>
        <w:t>附表6</w:t>
      </w:r>
      <w:r>
        <w:rPr>
          <w:rFonts w:hint="eastAsia" w:ascii="方正黑体简体" w:hAnsi="方正黑体简体" w:eastAsia="方正黑体简体" w:cs="方正黑体简体"/>
          <w:color w:val="000000"/>
          <w:kern w:val="0"/>
          <w:sz w:val="24"/>
          <w:lang w:val="en-US" w:eastAsia="zh-CN"/>
        </w:rPr>
        <w:t xml:space="preserve">                                                                                          </w:t>
      </w:r>
      <w:r>
        <w:rPr>
          <w:rFonts w:hint="eastAsia" w:eastAsia="宋体" w:cs="Times New Roman"/>
          <w:kern w:val="2"/>
          <w:sz w:val="21"/>
          <w:szCs w:val="24"/>
          <w:lang w:val="en-US" w:eastAsia="zh-CN" w:bidi="ar-SA"/>
        </w:rPr>
        <w:t xml:space="preserve"> 表3    </w:t>
      </w:r>
      <w:r>
        <w:rPr>
          <w:rFonts w:hint="eastAsia" w:ascii="方正黑体简体" w:hAnsi="方正黑体简体" w:eastAsia="方正黑体简体" w:cs="方正黑体简体"/>
          <w:color w:val="000000"/>
          <w:kern w:val="0"/>
          <w:sz w:val="24"/>
          <w:lang w:val="en-US" w:eastAsia="zh-CN"/>
        </w:rPr>
        <w:t xml:space="preserve">                                                               </w:t>
      </w:r>
    </w:p>
    <w:p>
      <w:pPr>
        <w:spacing w:line="576" w:lineRule="exact"/>
        <w:jc w:val="center"/>
        <w:rPr>
          <w:rFonts w:ascii="仿宋_GB2312" w:hAnsi="仿宋_GB2312" w:eastAsia="仿宋_GB2312" w:cs="仿宋_GB2312"/>
          <w:sz w:val="32"/>
          <w:szCs w:val="32"/>
        </w:rPr>
      </w:pPr>
      <w:r>
        <w:rPr>
          <w:rFonts w:hint="eastAsia" w:ascii="宋体" w:hAnsi="宋体" w:cs="宋体"/>
          <w:b/>
          <w:bCs/>
          <w:color w:val="000000"/>
          <w:kern w:val="0"/>
          <w:sz w:val="32"/>
          <w:szCs w:val="32"/>
        </w:rPr>
        <w:t>一般公共预算支出预算表</w:t>
      </w:r>
    </w:p>
    <w:p>
      <w:pPr>
        <w:spacing w:line="576" w:lineRule="exact"/>
        <w:rPr>
          <w:rFonts w:hint="eastAsia" w:eastAsia="宋体" w:cs="Times New Roman"/>
          <w:kern w:val="2"/>
          <w:sz w:val="21"/>
          <w:szCs w:val="24"/>
          <w:lang w:val="en-US" w:eastAsia="zh-CN" w:bidi="ar-SA"/>
        </w:rPr>
      </w:pPr>
      <w:r>
        <w:rPr>
          <w:rFonts w:hint="eastAsia" w:eastAsia="宋体" w:cs="Times New Roman"/>
          <w:kern w:val="2"/>
          <w:sz w:val="21"/>
          <w:szCs w:val="24"/>
          <w:lang w:val="en-US" w:eastAsia="zh-CN" w:bidi="ar-SA"/>
        </w:rPr>
        <w:tab/>
      </w:r>
      <w:r>
        <w:rPr>
          <w:rFonts w:hint="eastAsia" w:eastAsia="宋体" w:cs="Times New Roman"/>
          <w:kern w:val="2"/>
          <w:sz w:val="21"/>
          <w:szCs w:val="24"/>
          <w:lang w:val="en-US" w:eastAsia="zh-CN" w:bidi="ar-SA"/>
        </w:rPr>
        <w:tab/>
      </w:r>
      <w:r>
        <w:rPr>
          <w:rFonts w:hint="eastAsia" w:eastAsia="宋体" w:cs="Times New Roman"/>
          <w:kern w:val="2"/>
          <w:sz w:val="21"/>
          <w:szCs w:val="24"/>
          <w:lang w:val="en-US" w:eastAsia="zh-CN" w:bidi="ar-SA"/>
        </w:rPr>
        <w:t xml:space="preserve">                                                                                           </w:t>
      </w:r>
      <w:r>
        <w:rPr>
          <w:rFonts w:hint="eastAsia" w:eastAsia="宋体" w:cs="Times New Roman"/>
          <w:kern w:val="2"/>
          <w:sz w:val="21"/>
          <w:szCs w:val="24"/>
          <w:lang w:val="en-US" w:eastAsia="zh-CN" w:bidi="ar-SA"/>
        </w:rPr>
        <w:tab/>
      </w:r>
      <w:r>
        <w:rPr>
          <w:rFonts w:hint="eastAsia" w:eastAsia="宋体" w:cs="Times New Roman"/>
          <w:kern w:val="2"/>
          <w:sz w:val="21"/>
          <w:szCs w:val="24"/>
          <w:lang w:val="en-US" w:eastAsia="zh-CN" w:bidi="ar-SA"/>
        </w:rPr>
        <w:t>金额单位：万元</w:t>
      </w:r>
    </w:p>
    <w:tbl>
      <w:tblPr>
        <w:tblStyle w:val="8"/>
        <w:tblW w:w="131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600"/>
        <w:gridCol w:w="600"/>
        <w:gridCol w:w="1510"/>
        <w:gridCol w:w="4615"/>
        <w:gridCol w:w="1716"/>
        <w:gridCol w:w="1683"/>
        <w:gridCol w:w="16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7991" w:type="dxa"/>
            <w:gridSpan w:val="5"/>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1716"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716" w:type="dxa"/>
            <w:vMerge w:val="restart"/>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当年财政拨款安排</w:t>
            </w:r>
          </w:p>
        </w:tc>
        <w:tc>
          <w:tcPr>
            <w:tcW w:w="1716" w:type="dxa"/>
            <w:vMerge w:val="restart"/>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上年结转安排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716" w:type="dxa"/>
            <w:vMerge w:val="continue"/>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广元市政务服务和数据局部门</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456.05</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事业运行</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288.93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288.93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其他政府办公厅（室）及相关机构事务支出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事业单位离退休</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机关事业单位基本养老保险缴费支出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其他社会保障和就业支出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事业单位医疗</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w:t>
            </w:r>
          </w:p>
        </w:tc>
        <w:tc>
          <w:tcPr>
            <w:tcW w:w="461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住房公积金</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rPr>
          <w:rFonts w:hint="default" w:ascii="方正黑体简体" w:hAnsi="方正黑体简体" w:eastAsia="方正黑体简体" w:cs="方正黑体简体"/>
          <w:color w:val="000000"/>
          <w:kern w:val="0"/>
          <w:sz w:val="24"/>
          <w:lang w:val="en-US" w:eastAsia="zh-CN"/>
        </w:rPr>
      </w:pPr>
      <w:r>
        <w:rPr>
          <w:rFonts w:ascii="方正黑体简体" w:hAnsi="方正黑体简体" w:eastAsia="方正黑体简体" w:cs="方正黑体简体"/>
          <w:color w:val="000000"/>
          <w:kern w:val="0"/>
          <w:sz w:val="24"/>
        </w:rPr>
        <w:t>附表7</w:t>
      </w:r>
      <w:r>
        <w:rPr>
          <w:rFonts w:hint="eastAsia" w:ascii="方正黑体简体" w:hAnsi="方正黑体简体" w:eastAsia="方正黑体简体" w:cs="方正黑体简体"/>
          <w:color w:val="000000"/>
          <w:kern w:val="0"/>
          <w:sz w:val="24"/>
          <w:lang w:val="en-US" w:eastAsia="zh-CN"/>
        </w:rPr>
        <w:t xml:space="preserve">                                                                                     </w:t>
      </w:r>
      <w:r>
        <w:rPr>
          <w:rFonts w:hint="eastAsia" w:eastAsia="宋体" w:cs="Times New Roman"/>
          <w:kern w:val="2"/>
          <w:sz w:val="21"/>
          <w:szCs w:val="24"/>
          <w:lang w:val="en-US" w:eastAsia="zh-CN" w:bidi="ar-SA"/>
        </w:rPr>
        <w:t xml:space="preserve">   表3 -1</w:t>
      </w:r>
    </w:p>
    <w:p>
      <w:pPr>
        <w:jc w:val="center"/>
        <w:rPr>
          <w:rFonts w:hint="eastAsia" w:ascii="方正黑体简体" w:hAnsi="方正黑体简体" w:eastAsia="方正黑体简体" w:cs="方正黑体简体"/>
          <w:color w:val="000000"/>
          <w:kern w:val="0"/>
          <w:sz w:val="24"/>
        </w:rPr>
      </w:pPr>
      <w:r>
        <w:rPr>
          <w:rFonts w:hint="eastAsia" w:ascii="宋体" w:hAnsi="宋体" w:cs="宋体"/>
          <w:b/>
          <w:bCs/>
          <w:color w:val="000000"/>
          <w:kern w:val="0"/>
          <w:sz w:val="32"/>
          <w:szCs w:val="32"/>
        </w:rPr>
        <w:t>一般公共预算基本支出预算表</w:t>
      </w:r>
    </w:p>
    <w:p>
      <w:pPr>
        <w:rPr>
          <w:rFonts w:ascii="仿宋_GB2312" w:hAnsi="仿宋_GB2312" w:eastAsia="仿宋_GB2312" w:cs="仿宋_GB2312"/>
          <w:sz w:val="32"/>
          <w:szCs w:val="32"/>
        </w:rPr>
      </w:pPr>
      <w:r>
        <w:rPr>
          <w:rFonts w:hint="eastAsia" w:ascii="Dialog . plain" w:hAnsi="Dialog . plain" w:eastAsia="Dialog . plain" w:cs="Dialog . plain"/>
          <w:i w:val="0"/>
          <w:color w:val="000000"/>
          <w:kern w:val="0"/>
          <w:sz w:val="22"/>
          <w:szCs w:val="22"/>
          <w:u w:val="none"/>
          <w:lang w:val="en-US" w:eastAsia="zh-CN" w:bidi="ar"/>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宋体" w:hAnsi="宋体" w:eastAsia="宋体" w:cs="宋体"/>
          <w:i w:val="0"/>
          <w:color w:val="000000"/>
          <w:kern w:val="0"/>
          <w:sz w:val="22"/>
          <w:szCs w:val="22"/>
          <w:u w:val="none"/>
          <w:lang w:val="en-US" w:eastAsia="zh-CN" w:bidi="ar"/>
        </w:rPr>
        <w:t xml:space="preserve">     金额单位：万元</w:t>
      </w:r>
    </w:p>
    <w:tbl>
      <w:tblPr>
        <w:tblStyle w:val="8"/>
        <w:tblW w:w="134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4"/>
        <w:gridCol w:w="858"/>
        <w:gridCol w:w="1629"/>
        <w:gridCol w:w="4390"/>
        <w:gridCol w:w="1593"/>
        <w:gridCol w:w="1987"/>
        <w:gridCol w:w="1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jc w:val="center"/>
        </w:trPr>
        <w:tc>
          <w:tcPr>
            <w:tcW w:w="7891" w:type="dxa"/>
            <w:gridSpan w:val="4"/>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5568" w:type="dxa"/>
            <w:gridSpan w:val="3"/>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jc w:val="center"/>
        </w:trPr>
        <w:tc>
          <w:tcPr>
            <w:tcW w:w="0" w:type="auto"/>
            <w:gridSpan w:val="2"/>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0" w:type="auto"/>
            <w:vMerge w:val="restart"/>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321.46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321.46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广元市政务服务和公共资源交易中心</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371.82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321.46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工资福利支出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316.42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基本工资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88.79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晋级工资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基本工资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87.66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津贴补贴</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3010204</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乡镇工作补贴</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3010206</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其他津贴补贴（含工改、审计等）</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奖金</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86.84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3010303</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基础绩效奖</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301030502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事业人员年度考核奖</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绩效工资</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机关事业单位基本养老保险缴费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职工基本医疗保险缴费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其他社会保障缴费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失业保险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0.90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12</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工伤保险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301</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13</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住房公积金</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50.36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办公费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11</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差旅费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16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培训费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劳务费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27</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委托业务费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28</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工会经费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福利费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福利费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29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食堂补助经费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其他交通费用</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党建经费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3029902</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退休人员活动经费</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302</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99</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3029999</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其他商品和服务支出</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heme="majorEastAsia" w:hAnsiTheme="majorEastAsia" w:eastAsiaTheme="majorEastAsia" w:cstheme="majorEastAsia"/>
                <w:i w:val="0"/>
                <w:color w:val="000000"/>
                <w:sz w:val="22"/>
                <w:szCs w:val="22"/>
                <w:u w:val="none"/>
              </w:rPr>
            </w:pP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对个人和家庭的补助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303</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生活补助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jc w:val="center"/>
        </w:trPr>
        <w:tc>
          <w:tcPr>
            <w:tcW w:w="955"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303</w:t>
            </w:r>
          </w:p>
        </w:tc>
        <w:tc>
          <w:tcPr>
            <w:tcW w:w="833"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Theme="majorEastAsia" w:hAnsiTheme="majorEastAsia" w:eastAsiaTheme="majorEastAsia" w:cstheme="majorEastAsia"/>
                <w:i w:val="0"/>
                <w:color w:val="000000"/>
                <w:sz w:val="22"/>
                <w:szCs w:val="22"/>
                <w:u w:val="none"/>
              </w:rPr>
            </w:pPr>
            <w:r>
              <w:rPr>
                <w:rFonts w:hint="eastAsia" w:asciiTheme="majorEastAsia" w:hAnsiTheme="majorEastAsia" w:eastAsiaTheme="majorEastAsia" w:cstheme="majorEastAsia"/>
                <w:i w:val="0"/>
                <w:color w:val="000000"/>
                <w:kern w:val="0"/>
                <w:sz w:val="22"/>
                <w:szCs w:val="22"/>
                <w:u w:val="none"/>
                <w:lang w:val="en-US" w:eastAsia="zh-CN" w:bidi="ar"/>
              </w:rPr>
              <w:t>05</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3030501</w:t>
            </w:r>
          </w:p>
        </w:tc>
        <w:tc>
          <w:tcPr>
            <w:tcW w:w="4518" w:type="dxa"/>
            <w:tcBorders>
              <w:top w:val="single" w:color="C0C0C0" w:sz="4" w:space="0"/>
              <w:left w:val="single" w:color="C0C0C0" w:sz="4" w:space="0"/>
              <w:bottom w:val="single" w:color="C0C0C0" w:sz="4" w:space="0"/>
              <w:right w:val="single" w:color="C0C0C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退休人员绩效补助</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w:t>
            </w:r>
          </w:p>
        </w:tc>
        <w:tc>
          <w:tcPr>
            <w:tcW w:w="0" w:type="auto"/>
            <w:tcBorders>
              <w:top w:val="single" w:color="C0C0C0" w:sz="4" w:space="0"/>
              <w:left w:val="single" w:color="C0C0C0" w:sz="4" w:space="0"/>
              <w:bottom w:val="single" w:color="C0C0C0" w:sz="4" w:space="0"/>
              <w:right w:val="single" w:color="C0C0C0"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p>
    <w:p>
      <w:pPr>
        <w:rPr>
          <w:rFonts w:hint="default" w:ascii="仿宋_GB2312" w:hAnsi="仿宋_GB2312" w:eastAsia="方正黑体简体" w:cs="仿宋_GB2312"/>
          <w:sz w:val="32"/>
          <w:szCs w:val="32"/>
          <w:lang w:val="en-US" w:eastAsia="zh-CN"/>
        </w:rPr>
      </w:pPr>
      <w:r>
        <w:rPr>
          <w:rFonts w:ascii="方正黑体简体" w:hAnsi="方正黑体简体" w:eastAsia="方正黑体简体" w:cs="方正黑体简体"/>
          <w:color w:val="000000"/>
          <w:kern w:val="0"/>
          <w:sz w:val="24"/>
        </w:rPr>
        <w:t>附表8</w:t>
      </w:r>
      <w:r>
        <w:rPr>
          <w:rFonts w:hint="eastAsia" w:ascii="方正黑体简体" w:hAnsi="方正黑体简体" w:eastAsia="方正黑体简体" w:cs="方正黑体简体"/>
          <w:color w:val="000000"/>
          <w:kern w:val="0"/>
          <w:sz w:val="24"/>
          <w:lang w:val="en-US" w:eastAsia="zh-CN"/>
        </w:rPr>
        <w:t xml:space="preserve">                                                                                        </w:t>
      </w:r>
      <w:r>
        <w:rPr>
          <w:rFonts w:hint="eastAsia" w:eastAsia="宋体" w:cs="Times New Roman"/>
          <w:kern w:val="2"/>
          <w:sz w:val="21"/>
          <w:szCs w:val="24"/>
          <w:lang w:val="en-US" w:eastAsia="zh-CN" w:bidi="ar-SA"/>
        </w:rPr>
        <w:t xml:space="preserve"> 表3 -2</w:t>
      </w:r>
    </w:p>
    <w:p>
      <w:pPr>
        <w:ind w:firstLine="321" w:firstLineChars="100"/>
        <w:jc w:val="center"/>
        <w:rPr>
          <w:rFonts w:hint="eastAsia" w:ascii="宋体" w:hAnsi="宋体" w:cs="宋体"/>
          <w:b/>
          <w:bCs/>
          <w:color w:val="000000"/>
          <w:kern w:val="0"/>
          <w:sz w:val="32"/>
          <w:szCs w:val="32"/>
        </w:rPr>
      </w:pPr>
      <w:r>
        <w:rPr>
          <w:rFonts w:hint="eastAsia" w:ascii="宋体" w:hAnsi="宋体" w:cs="宋体"/>
          <w:b/>
          <w:bCs/>
          <w:color w:val="000000"/>
          <w:kern w:val="0"/>
          <w:sz w:val="32"/>
          <w:szCs w:val="32"/>
        </w:rPr>
        <w:t>一般公共预算项目支出预算表</w:t>
      </w:r>
    </w:p>
    <w:p>
      <w:pPr>
        <w:widowControl/>
        <w:jc w:val="center"/>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金额单位：万元</w:t>
      </w:r>
    </w:p>
    <w:tbl>
      <w:tblPr>
        <w:tblStyle w:val="8"/>
        <w:tblW w:w="126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0"/>
        <w:gridCol w:w="800"/>
        <w:gridCol w:w="801"/>
        <w:gridCol w:w="1893"/>
        <w:gridCol w:w="5806"/>
        <w:gridCol w:w="23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2601" w:type="dxa"/>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1893"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5806"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2318"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w:t>
            </w:r>
          </w:p>
        </w:tc>
        <w:tc>
          <w:tcPr>
            <w:tcW w:w="1893"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5806"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2318"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广元市政务服务和公共资源交易中心</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其他政府办公厅（室）及相关机构事务支出</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网络运行维护费</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4"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交易场地设施设备维护费</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5806"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公共资源交易业务工作经费</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50.23</w:t>
            </w:r>
          </w:p>
        </w:tc>
      </w:tr>
    </w:tbl>
    <w:p>
      <w:pPr>
        <w:rPr>
          <w:rFonts w:ascii="方正黑体简体" w:hAnsi="方正黑体简体" w:eastAsia="方正黑体简体" w:cs="方正黑体简体"/>
          <w:color w:val="000000"/>
          <w:kern w:val="0"/>
          <w:sz w:val="24"/>
        </w:rPr>
      </w:pPr>
    </w:p>
    <w:p>
      <w:pPr>
        <w:rPr>
          <w:rFonts w:hint="default" w:ascii="仿宋_GB2312" w:hAnsi="仿宋_GB2312" w:eastAsia="方正黑体简体" w:cs="仿宋_GB2312"/>
          <w:sz w:val="32"/>
          <w:szCs w:val="32"/>
          <w:lang w:val="en-US" w:eastAsia="zh-CN"/>
        </w:rPr>
      </w:pPr>
      <w:r>
        <w:rPr>
          <w:rFonts w:ascii="方正黑体简体" w:hAnsi="方正黑体简体" w:eastAsia="方正黑体简体" w:cs="方正黑体简体"/>
          <w:color w:val="000000"/>
          <w:kern w:val="0"/>
          <w:sz w:val="24"/>
        </w:rPr>
        <w:t>附表9</w:t>
      </w:r>
      <w:r>
        <w:rPr>
          <w:rFonts w:hint="eastAsia" w:ascii="方正黑体简体" w:hAnsi="方正黑体简体" w:eastAsia="方正黑体简体" w:cs="方正黑体简体"/>
          <w:color w:val="000000"/>
          <w:kern w:val="0"/>
          <w:sz w:val="24"/>
          <w:lang w:val="en-US" w:eastAsia="zh-CN"/>
        </w:rPr>
        <w:t xml:space="preserve">                                                                                        </w:t>
      </w:r>
      <w:r>
        <w:rPr>
          <w:rFonts w:hint="eastAsia" w:eastAsia="宋体" w:cs="Times New Roman"/>
          <w:kern w:val="2"/>
          <w:sz w:val="21"/>
          <w:szCs w:val="24"/>
          <w:lang w:val="en-US" w:eastAsia="zh-CN" w:bidi="ar-SA"/>
        </w:rPr>
        <w:t xml:space="preserve"> 表3 -3</w:t>
      </w:r>
    </w:p>
    <w:p>
      <w:pPr>
        <w:spacing w:line="576" w:lineRule="exact"/>
        <w:jc w:val="center"/>
        <w:rPr>
          <w:rFonts w:hint="eastAsia" w:ascii="宋体" w:hAnsi="宋体" w:cs="宋体"/>
          <w:b/>
          <w:bCs/>
          <w:color w:val="000000"/>
          <w:kern w:val="0"/>
          <w:sz w:val="32"/>
          <w:szCs w:val="32"/>
        </w:rPr>
      </w:pPr>
      <w:r>
        <w:rPr>
          <w:rFonts w:hint="eastAsia" w:ascii="宋体" w:hAnsi="宋体" w:cs="宋体"/>
          <w:b/>
          <w:bCs/>
          <w:color w:val="000000"/>
          <w:kern w:val="0"/>
          <w:sz w:val="32"/>
          <w:szCs w:val="32"/>
        </w:rPr>
        <w:t>一般公共预算“三公”经费支出预算表</w:t>
      </w:r>
    </w:p>
    <w:p>
      <w:pPr>
        <w:widowControl/>
        <w:jc w:val="both"/>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金额单位：万元</w:t>
      </w:r>
    </w:p>
    <w:tbl>
      <w:tblPr>
        <w:tblStyle w:val="8"/>
        <w:tblW w:w="13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37"/>
        <w:gridCol w:w="3109"/>
        <w:gridCol w:w="800"/>
        <w:gridCol w:w="1280"/>
        <w:gridCol w:w="800"/>
        <w:gridCol w:w="2144"/>
        <w:gridCol w:w="2144"/>
        <w:gridCol w:w="1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0" w:type="auto"/>
            <w:vMerge w:val="restart"/>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单位编码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0" w:type="auto"/>
            <w:gridSpan w:val="6"/>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当年财政拨款预算安排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restart"/>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280" w:type="dxa"/>
            <w:vMerge w:val="restart"/>
            <w:tcBorders>
              <w:top w:val="single" w:color="C2C3C4" w:sz="4" w:space="0"/>
              <w:left w:val="single" w:color="C2C3C4" w:sz="4" w:space="0"/>
              <w:bottom w:val="single" w:color="C2C3C4" w:sz="4" w:space="0"/>
              <w:right w:val="single" w:color="C2C3C4" w:sz="4" w:space="0"/>
            </w:tcBorders>
            <w:shd w:val="clear" w:color="EFF2F7" w:fill="FFFFFF" w:themeFill="background1"/>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因公出国（境）费用</w:t>
            </w:r>
          </w:p>
        </w:tc>
        <w:tc>
          <w:tcPr>
            <w:tcW w:w="0" w:type="auto"/>
            <w:gridSpan w:val="3"/>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公务用车购置及运行费</w:t>
            </w:r>
          </w:p>
        </w:tc>
        <w:tc>
          <w:tcPr>
            <w:tcW w:w="0" w:type="auto"/>
            <w:vMerge w:val="restart"/>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280" w:type="dxa"/>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公务用车购置费</w:t>
            </w: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公务用车运行费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EFF2F7" w:fill="FFFFFF" w:themeFill="background1"/>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310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635602</w:t>
            </w:r>
          </w:p>
        </w:tc>
        <w:tc>
          <w:tcPr>
            <w:tcW w:w="3109" w:type="dxa"/>
            <w:tcBorders>
              <w:top w:val="single" w:color="C2C3C4" w:sz="4" w:space="0"/>
              <w:left w:val="single" w:color="C2C3C4" w:sz="4" w:space="0"/>
              <w:bottom w:val="single" w:color="C2C3C4" w:sz="4" w:space="0"/>
              <w:right w:val="single" w:color="C2C3C4"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广元市政务服务和公共资源交易中心</w:t>
            </w: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FFFFFF" w:fill="FFFFFF"/>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jc w:val="both"/>
        <w:rPr>
          <w:rFonts w:hint="eastAsia" w:ascii="方正黑体简体" w:hAnsi="方正黑体简体" w:eastAsia="方正黑体简体" w:cs="方正黑体简体"/>
          <w:color w:val="000000"/>
          <w:kern w:val="0"/>
          <w:sz w:val="24"/>
          <w:lang w:val="en-US" w:eastAsia="zh-CN"/>
        </w:rPr>
      </w:pPr>
      <w:r>
        <w:rPr>
          <w:rFonts w:hint="eastAsia" w:ascii="方正黑体简体" w:hAnsi="方正黑体简体" w:eastAsia="方正黑体简体" w:cs="方正黑体简体"/>
          <w:color w:val="000000"/>
          <w:kern w:val="0"/>
          <w:sz w:val="24"/>
          <w:lang w:val="en-US" w:eastAsia="zh-CN"/>
        </w:rPr>
        <w:t>注：本表无数据。</w:t>
      </w: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widowControl/>
        <w:jc w:val="both"/>
        <w:textAlignment w:val="center"/>
        <w:rPr>
          <w:rFonts w:hint="eastAsia" w:ascii="宋体" w:hAnsi="宋体" w:eastAsia="宋体" w:cs="宋体"/>
          <w:color w:val="000000"/>
          <w:kern w:val="0"/>
          <w:sz w:val="22"/>
          <w:szCs w:val="22"/>
          <w:lang w:val="en-US" w:eastAsia="zh-CN"/>
        </w:rPr>
      </w:pPr>
    </w:p>
    <w:p>
      <w:pPr>
        <w:spacing w:line="576" w:lineRule="exact"/>
        <w:rPr>
          <w:rFonts w:hint="default" w:ascii="仿宋_GB2312" w:hAnsi="仿宋_GB2312" w:eastAsia="方正黑体简体" w:cs="仿宋_GB2312"/>
          <w:sz w:val="32"/>
          <w:szCs w:val="32"/>
          <w:lang w:val="en-US" w:eastAsia="zh-CN"/>
        </w:rPr>
      </w:pPr>
      <w:r>
        <w:rPr>
          <w:rFonts w:ascii="方正黑体简体" w:hAnsi="方正黑体简体" w:eastAsia="方正黑体简体" w:cs="方正黑体简体"/>
          <w:color w:val="000000"/>
          <w:kern w:val="0"/>
          <w:sz w:val="24"/>
        </w:rPr>
        <w:t>附表10</w:t>
      </w:r>
      <w:r>
        <w:rPr>
          <w:rFonts w:hint="eastAsia" w:ascii="方正黑体简体" w:hAnsi="方正黑体简体" w:eastAsia="方正黑体简体" w:cs="方正黑体简体"/>
          <w:color w:val="000000"/>
          <w:kern w:val="0"/>
          <w:sz w:val="24"/>
          <w:lang w:val="en-US" w:eastAsia="zh-CN"/>
        </w:rPr>
        <w:t xml:space="preserve">                                                                                          </w:t>
      </w:r>
      <w:r>
        <w:rPr>
          <w:rFonts w:hint="eastAsia" w:ascii="宋体" w:hAnsi="宋体" w:eastAsia="宋体" w:cs="宋体"/>
          <w:color w:val="000000"/>
          <w:kern w:val="0"/>
          <w:sz w:val="22"/>
          <w:szCs w:val="22"/>
          <w:lang w:val="en-US" w:eastAsia="zh-CN"/>
        </w:rPr>
        <w:t xml:space="preserve">  表4</w:t>
      </w:r>
    </w:p>
    <w:p>
      <w:pPr>
        <w:spacing w:line="576" w:lineRule="exact"/>
        <w:jc w:val="center"/>
        <w:rPr>
          <w:rFonts w:ascii="仿宋_GB2312" w:hAnsi="仿宋_GB2312" w:eastAsia="仿宋_GB2312" w:cs="仿宋_GB2312"/>
          <w:sz w:val="32"/>
          <w:szCs w:val="32"/>
        </w:rPr>
      </w:pPr>
      <w:r>
        <w:rPr>
          <w:rFonts w:hint="eastAsia" w:ascii="宋体" w:hAnsi="宋体" w:cs="宋体"/>
          <w:b/>
          <w:bCs/>
          <w:color w:val="000000"/>
          <w:kern w:val="0"/>
          <w:sz w:val="32"/>
          <w:szCs w:val="32"/>
        </w:rPr>
        <w:t>政府性基金预算支出预算表</w:t>
      </w:r>
    </w:p>
    <w:p>
      <w:pPr>
        <w:spacing w:line="576" w:lineRule="exact"/>
        <w:rPr>
          <w:rFonts w:ascii="仿宋_GB2312" w:hAnsi="仿宋_GB2312" w:eastAsia="仿宋_GB2312" w:cs="仿宋_GB2312"/>
          <w:sz w:val="32"/>
          <w:szCs w:val="32"/>
        </w:rPr>
      </w:pPr>
      <w:r>
        <w:rPr>
          <w:rFonts w:hint="eastAsia" w:ascii="宋体" w:hAnsi="宋体" w:eastAsia="宋体" w:cs="宋体"/>
          <w:color w:val="000000"/>
          <w:kern w:val="0"/>
          <w:sz w:val="22"/>
          <w:szCs w:val="22"/>
        </w:rPr>
        <w:tab/>
      </w:r>
      <w:r>
        <w:rPr>
          <w:rFonts w:hint="eastAsia" w:ascii="仿宋_GB2312" w:hAnsi="仿宋_GB2312" w:eastAsia="仿宋_GB2312" w:cs="仿宋_GB2312"/>
          <w:sz w:val="32"/>
          <w:szCs w:val="32"/>
          <w:lang w:val="en-US" w:eastAsia="zh-CN"/>
        </w:rPr>
        <w:t xml:space="preserve">                                                     </w:t>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金额单位：万元</w:t>
      </w:r>
    </w:p>
    <w:tbl>
      <w:tblPr>
        <w:tblStyle w:val="8"/>
        <w:tblW w:w="140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622"/>
        <w:gridCol w:w="622"/>
        <w:gridCol w:w="1566"/>
        <w:gridCol w:w="4511"/>
        <w:gridCol w:w="1403"/>
        <w:gridCol w:w="2346"/>
        <w:gridCol w:w="23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7943" w:type="dxa"/>
            <w:gridSpan w:val="5"/>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6096" w:type="dxa"/>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本年政府性基金预算支出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0" w:type="auto"/>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355"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355"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355"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jc w:val="both"/>
        <w:rPr>
          <w:rFonts w:ascii="方正黑体简体" w:hAnsi="方正黑体简体" w:eastAsia="方正黑体简体" w:cs="方正黑体简体"/>
          <w:color w:val="000000"/>
          <w:kern w:val="0"/>
          <w:sz w:val="24"/>
        </w:rPr>
      </w:pPr>
      <w:r>
        <w:rPr>
          <w:rFonts w:hint="eastAsia" w:ascii="方正黑体简体" w:hAnsi="方正黑体简体" w:eastAsia="方正黑体简体" w:cs="方正黑体简体"/>
          <w:color w:val="000000"/>
          <w:kern w:val="0"/>
          <w:sz w:val="24"/>
          <w:lang w:eastAsia="zh-CN"/>
        </w:rPr>
        <w:t>注：本表无数据</w:t>
      </w:r>
      <w:r>
        <w:rPr>
          <w:rFonts w:ascii="方正黑体简体" w:hAnsi="方正黑体简体" w:eastAsia="方正黑体简体" w:cs="方正黑体简体"/>
          <w:color w:val="000000"/>
          <w:kern w:val="0"/>
          <w:sz w:val="24"/>
        </w:rPr>
        <w:br w:type="page"/>
      </w:r>
    </w:p>
    <w:p>
      <w:pPr>
        <w:jc w:val="both"/>
        <w:rPr>
          <w:rFonts w:hint="default" w:ascii="方正黑体简体" w:hAnsi="方正黑体简体" w:eastAsia="方正黑体简体" w:cs="方正黑体简体"/>
          <w:color w:val="000000"/>
          <w:kern w:val="0"/>
          <w:sz w:val="24"/>
          <w:lang w:val="en-US" w:eastAsia="zh-CN"/>
        </w:rPr>
      </w:pPr>
      <w:r>
        <w:rPr>
          <w:rFonts w:ascii="方正黑体简体" w:hAnsi="方正黑体简体" w:eastAsia="方正黑体简体" w:cs="方正黑体简体"/>
          <w:color w:val="000000"/>
          <w:kern w:val="0"/>
          <w:sz w:val="24"/>
        </w:rPr>
        <w:t>附表11</w:t>
      </w:r>
      <w:r>
        <w:rPr>
          <w:rFonts w:hint="eastAsia" w:ascii="方正黑体简体" w:hAnsi="方正黑体简体" w:eastAsia="方正黑体简体" w:cs="方正黑体简体"/>
          <w:color w:val="000000"/>
          <w:kern w:val="0"/>
          <w:sz w:val="24"/>
          <w:lang w:val="en-US" w:eastAsia="zh-CN"/>
        </w:rPr>
        <w:t xml:space="preserve">                                                                                            </w:t>
      </w:r>
      <w:r>
        <w:rPr>
          <w:rFonts w:hint="eastAsia" w:ascii="宋体" w:hAnsi="宋体" w:eastAsia="宋体" w:cs="宋体"/>
          <w:color w:val="000000"/>
          <w:kern w:val="0"/>
          <w:sz w:val="22"/>
          <w:szCs w:val="22"/>
          <w:lang w:val="en-US" w:eastAsia="zh-CN"/>
        </w:rPr>
        <w:t xml:space="preserve">  表4-1</w:t>
      </w:r>
    </w:p>
    <w:p>
      <w:pPr>
        <w:jc w:val="center"/>
        <w:rPr>
          <w:rFonts w:ascii="方正黑体简体" w:hAnsi="方正黑体简体" w:eastAsia="方正黑体简体" w:cs="方正黑体简体"/>
          <w:color w:val="000000"/>
          <w:kern w:val="0"/>
          <w:sz w:val="24"/>
        </w:rPr>
      </w:pPr>
      <w:r>
        <w:rPr>
          <w:rFonts w:hint="eastAsia" w:ascii="宋体" w:hAnsi="宋体" w:cs="宋体"/>
          <w:b/>
          <w:bCs/>
          <w:color w:val="000000"/>
          <w:kern w:val="0"/>
          <w:sz w:val="32"/>
          <w:szCs w:val="32"/>
        </w:rPr>
        <w:t>政府性基金预算“三公”经费支出预算表</w:t>
      </w:r>
    </w:p>
    <w:p>
      <w:pPr>
        <w:widowControl/>
        <w:jc w:val="left"/>
        <w:textAlignment w:val="center"/>
        <w:rPr>
          <w:rFonts w:ascii="方正黑体简体" w:hAnsi="方正黑体简体" w:eastAsia="方正黑体简体" w:cs="方正黑体简体"/>
          <w:color w:val="000000"/>
          <w:kern w:val="0"/>
          <w:sz w:val="24"/>
        </w:rPr>
      </w:pP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金额单位：万元</w:t>
      </w:r>
    </w:p>
    <w:tbl>
      <w:tblPr>
        <w:tblStyle w:val="8"/>
        <w:tblW w:w="141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9"/>
        <w:gridCol w:w="2779"/>
        <w:gridCol w:w="867"/>
        <w:gridCol w:w="1806"/>
        <w:gridCol w:w="867"/>
        <w:gridCol w:w="2324"/>
        <w:gridCol w:w="2324"/>
        <w:gridCol w:w="17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1409"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单位编码</w:t>
            </w:r>
          </w:p>
        </w:tc>
        <w:tc>
          <w:tcPr>
            <w:tcW w:w="2779" w:type="dxa"/>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9931" w:type="dxa"/>
            <w:gridSpan w:val="6"/>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当年财政拨款预算安排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1409"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2779"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1861" w:type="dxa"/>
            <w:vMerge w:val="restart"/>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因公出国（境）费用</w:t>
            </w:r>
          </w:p>
        </w:tc>
        <w:tc>
          <w:tcPr>
            <w:tcW w:w="0" w:type="auto"/>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公务用车购置及运行费</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1409"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2779" w:type="dxa"/>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1861" w:type="dxa"/>
            <w:vMerge w:val="continue"/>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公务用车购置费</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公务用车运行费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2779"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5"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2779"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jc w:val="both"/>
        <w:rPr>
          <w:rFonts w:ascii="方正黑体简体" w:hAnsi="方正黑体简体" w:eastAsia="方正黑体简体" w:cs="方正黑体简体"/>
          <w:color w:val="000000"/>
          <w:kern w:val="0"/>
          <w:sz w:val="24"/>
        </w:rPr>
      </w:pPr>
      <w:r>
        <w:rPr>
          <w:rFonts w:hint="eastAsia" w:ascii="方正黑体简体" w:hAnsi="方正黑体简体" w:eastAsia="方正黑体简体" w:cs="方正黑体简体"/>
          <w:color w:val="000000"/>
          <w:kern w:val="0"/>
          <w:sz w:val="24"/>
          <w:lang w:eastAsia="zh-CN"/>
        </w:rPr>
        <w:t>注：本表无数据</w:t>
      </w:r>
    </w:p>
    <w:p>
      <w:pPr>
        <w:jc w:val="both"/>
        <w:rPr>
          <w:rFonts w:hint="default" w:ascii="方正黑体简体" w:hAnsi="方正黑体简体" w:eastAsia="方正黑体简体" w:cs="方正黑体简体"/>
          <w:color w:val="000000"/>
          <w:kern w:val="0"/>
          <w:sz w:val="24"/>
          <w:lang w:val="en-US" w:eastAsia="zh-CN"/>
        </w:rPr>
      </w:pPr>
    </w:p>
    <w:p>
      <w:pPr>
        <w:rPr>
          <w:rFonts w:ascii="方正黑体简体" w:hAnsi="方正黑体简体" w:eastAsia="方正黑体简体" w:cs="方正黑体简体"/>
          <w:color w:val="000000"/>
          <w:kern w:val="0"/>
          <w:sz w:val="24"/>
        </w:rPr>
      </w:pPr>
    </w:p>
    <w:p>
      <w:pPr>
        <w:rPr>
          <w:rFonts w:ascii="方正黑体简体" w:hAnsi="方正黑体简体" w:eastAsia="方正黑体简体" w:cs="方正黑体简体"/>
          <w:color w:val="000000"/>
          <w:kern w:val="0"/>
          <w:sz w:val="24"/>
        </w:rPr>
      </w:pPr>
    </w:p>
    <w:p>
      <w:pPr>
        <w:rPr>
          <w:rFonts w:ascii="方正黑体简体" w:hAnsi="方正黑体简体" w:eastAsia="方正黑体简体" w:cs="方正黑体简体"/>
          <w:color w:val="000000"/>
          <w:kern w:val="0"/>
          <w:sz w:val="24"/>
        </w:rPr>
      </w:pPr>
    </w:p>
    <w:p>
      <w:pPr>
        <w:rPr>
          <w:rFonts w:hint="default" w:ascii="方正黑体简体" w:hAnsi="方正黑体简体" w:eastAsia="方正黑体简体" w:cs="方正黑体简体"/>
          <w:color w:val="000000"/>
          <w:kern w:val="0"/>
          <w:sz w:val="24"/>
          <w:lang w:val="en-US" w:eastAsia="zh-CN"/>
        </w:rPr>
      </w:pPr>
      <w:r>
        <w:rPr>
          <w:rFonts w:ascii="方正黑体简体" w:hAnsi="方正黑体简体" w:eastAsia="方正黑体简体" w:cs="方正黑体简体"/>
          <w:color w:val="000000"/>
          <w:kern w:val="0"/>
          <w:sz w:val="24"/>
        </w:rPr>
        <w:t>附表12</w:t>
      </w:r>
      <w:r>
        <w:rPr>
          <w:rFonts w:hint="eastAsia" w:ascii="方正黑体简体" w:hAnsi="方正黑体简体" w:eastAsia="方正黑体简体" w:cs="方正黑体简体"/>
          <w:color w:val="000000"/>
          <w:kern w:val="0"/>
          <w:sz w:val="24"/>
          <w:lang w:val="en-US" w:eastAsia="zh-CN"/>
        </w:rPr>
        <w:t xml:space="preserve">                                                                                    </w:t>
      </w:r>
      <w:r>
        <w:rPr>
          <w:rFonts w:hint="eastAsia" w:ascii="宋体" w:hAnsi="宋体" w:eastAsia="宋体" w:cs="宋体"/>
          <w:color w:val="000000"/>
          <w:kern w:val="0"/>
          <w:sz w:val="22"/>
          <w:szCs w:val="22"/>
          <w:lang w:val="en-US" w:eastAsia="zh-CN"/>
        </w:rPr>
        <w:t xml:space="preserve">         表5</w:t>
      </w:r>
    </w:p>
    <w:p>
      <w:pPr>
        <w:jc w:val="center"/>
        <w:rPr>
          <w:rFonts w:ascii="方正黑体简体" w:hAnsi="方正黑体简体" w:eastAsia="方正黑体简体" w:cs="方正黑体简体"/>
          <w:color w:val="000000"/>
          <w:kern w:val="0"/>
          <w:sz w:val="24"/>
        </w:rPr>
      </w:pPr>
      <w:r>
        <w:rPr>
          <w:rFonts w:hint="eastAsia" w:ascii="宋体" w:hAnsi="宋体" w:cs="宋体"/>
          <w:b/>
          <w:bCs/>
          <w:color w:val="000000"/>
          <w:kern w:val="0"/>
          <w:sz w:val="32"/>
          <w:szCs w:val="32"/>
        </w:rPr>
        <w:t>国有资本经营预算支出预算表</w:t>
      </w:r>
    </w:p>
    <w:p>
      <w:pPr>
        <w:widowControl/>
        <w:jc w:val="center"/>
        <w:textAlignment w:val="center"/>
        <w:rPr>
          <w:rFonts w:hint="eastAsia" w:ascii="宋体" w:hAnsi="宋体" w:eastAsia="宋体" w:cs="宋体"/>
          <w:color w:val="000000"/>
          <w:kern w:val="0"/>
          <w:sz w:val="22"/>
          <w:szCs w:val="22"/>
        </w:rPr>
      </w:pPr>
      <w:bookmarkStart w:id="0" w:name="_GoBack"/>
      <w:bookmarkEnd w:id="0"/>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rPr>
        <w:tab/>
      </w:r>
      <w:r>
        <w:rPr>
          <w:rFonts w:hint="eastAsia" w:ascii="宋体" w:hAnsi="宋体" w:eastAsia="宋体" w:cs="宋体"/>
          <w:color w:val="000000"/>
          <w:kern w:val="0"/>
          <w:sz w:val="22"/>
          <w:szCs w:val="22"/>
          <w:lang w:val="en-US" w:eastAsia="zh-CN"/>
        </w:rPr>
        <w:t xml:space="preserve">                                                                                       </w:t>
      </w:r>
      <w:r>
        <w:rPr>
          <w:rFonts w:hint="eastAsia" w:ascii="宋体" w:hAnsi="宋体" w:eastAsia="宋体" w:cs="宋体"/>
          <w:color w:val="000000"/>
          <w:kern w:val="0"/>
          <w:sz w:val="22"/>
          <w:szCs w:val="22"/>
        </w:rPr>
        <w:t>金额单位：万元</w:t>
      </w:r>
    </w:p>
    <w:tbl>
      <w:tblPr>
        <w:tblStyle w:val="8"/>
        <w:tblW w:w="138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5"/>
        <w:gridCol w:w="615"/>
        <w:gridCol w:w="615"/>
        <w:gridCol w:w="1547"/>
        <w:gridCol w:w="4249"/>
        <w:gridCol w:w="1422"/>
        <w:gridCol w:w="2378"/>
        <w:gridCol w:w="23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7641" w:type="dxa"/>
            <w:gridSpan w:val="5"/>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6178" w:type="dxa"/>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0" w:type="auto"/>
            <w:gridSpan w:val="3"/>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科目编码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单位代码</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单位名称（科目）</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0" w:type="auto"/>
            <w:vMerge w:val="restart"/>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款</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w:t>
            </w: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vMerge w:val="continue"/>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center"/>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    计</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061"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1"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061"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2" w:hRule="atLeast"/>
        </w:trPr>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p>
        </w:tc>
        <w:tc>
          <w:tcPr>
            <w:tcW w:w="4061" w:type="dxa"/>
            <w:tcBorders>
              <w:top w:val="single" w:color="C2C3C4" w:sz="4" w:space="0"/>
              <w:left w:val="single" w:color="C2C3C4" w:sz="4" w:space="0"/>
              <w:bottom w:val="single" w:color="C2C3C4" w:sz="4" w:space="0"/>
              <w:right w:val="single" w:color="C2C3C4"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default" w:ascii="Dialog . plain" w:hAnsi="Dialog . plain" w:eastAsia="Dialog . plain" w:cs="Dialog . plain"/>
                <w:i w:val="0"/>
                <w:color w:val="000000"/>
                <w:kern w:val="0"/>
                <w:sz w:val="22"/>
                <w:szCs w:val="22"/>
                <w:u w:val="none"/>
                <w:lang w:val="en-US" w:eastAsia="zh-CN" w:bidi="ar"/>
              </w:rPr>
              <w:t xml:space="preserve"> </w:t>
            </w: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c>
          <w:tcPr>
            <w:tcW w:w="0" w:type="auto"/>
            <w:tcBorders>
              <w:top w:val="single" w:color="C2C3C4" w:sz="4" w:space="0"/>
              <w:left w:val="single" w:color="C2C3C4" w:sz="4" w:space="0"/>
              <w:bottom w:val="single" w:color="C2C3C4" w:sz="4" w:space="0"/>
              <w:right w:val="single" w:color="C2C3C4" w:sz="4" w:space="0"/>
            </w:tcBorders>
            <w:shd w:val="clear" w:color="auto" w:fill="auto"/>
            <w:noWrap/>
            <w:vAlign w:val="center"/>
          </w:tcPr>
          <w:p>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p>
        </w:tc>
      </w:tr>
    </w:tbl>
    <w:p>
      <w:pPr>
        <w:jc w:val="both"/>
        <w:rPr>
          <w:rFonts w:hint="eastAsia" w:ascii="方正黑体简体" w:hAnsi="方正黑体简体" w:eastAsia="方正黑体简体" w:cs="方正黑体简体"/>
          <w:color w:val="000000"/>
          <w:kern w:val="0"/>
          <w:sz w:val="24"/>
          <w:lang w:eastAsia="zh-CN"/>
        </w:rPr>
      </w:pPr>
      <w:r>
        <w:rPr>
          <w:rFonts w:hint="eastAsia" w:ascii="方正黑体简体" w:hAnsi="方正黑体简体" w:eastAsia="方正黑体简体" w:cs="方正黑体简体"/>
          <w:color w:val="000000"/>
          <w:kern w:val="0"/>
          <w:sz w:val="24"/>
          <w:lang w:eastAsia="zh-CN"/>
        </w:rPr>
        <w:t>注：本表无数据</w:t>
      </w:r>
    </w:p>
    <w:p>
      <w:pPr>
        <w:jc w:val="both"/>
        <w:rPr>
          <w:rFonts w:hint="eastAsia" w:ascii="方正黑体简体" w:hAnsi="方正黑体简体" w:eastAsia="方正黑体简体" w:cs="方正黑体简体"/>
          <w:color w:val="000000"/>
          <w:kern w:val="0"/>
          <w:sz w:val="24"/>
          <w:lang w:eastAsia="zh-CN"/>
        </w:rPr>
      </w:pPr>
    </w:p>
    <w:p>
      <w:pPr>
        <w:jc w:val="both"/>
        <w:rPr>
          <w:rFonts w:hint="eastAsia" w:ascii="方正黑体简体" w:hAnsi="方正黑体简体" w:eastAsia="方正黑体简体" w:cs="方正黑体简体"/>
          <w:color w:val="000000"/>
          <w:kern w:val="0"/>
          <w:sz w:val="24"/>
          <w:lang w:eastAsia="zh-CN"/>
        </w:rPr>
      </w:pPr>
    </w:p>
    <w:p>
      <w:pPr>
        <w:jc w:val="both"/>
        <w:rPr>
          <w:rFonts w:hint="eastAsia" w:ascii="方正黑体简体" w:hAnsi="方正黑体简体" w:eastAsia="方正黑体简体" w:cs="方正黑体简体"/>
          <w:color w:val="000000"/>
          <w:kern w:val="0"/>
          <w:sz w:val="24"/>
          <w:lang w:eastAsia="zh-CN"/>
        </w:rPr>
      </w:pPr>
    </w:p>
    <w:p>
      <w:pPr>
        <w:rPr>
          <w:rFonts w:hint="default" w:ascii="方正黑体简体" w:hAnsi="方正黑体简体" w:eastAsia="方正黑体简体" w:cs="方正黑体简体"/>
          <w:i w:val="0"/>
          <w:iCs w:val="0"/>
          <w:color w:val="000000"/>
          <w:kern w:val="0"/>
          <w:sz w:val="24"/>
          <w:szCs w:val="24"/>
          <w:u w:val="none"/>
          <w:lang w:val="en-US" w:eastAsia="zh-CN" w:bidi="ar"/>
        </w:rPr>
      </w:pPr>
      <w:r>
        <w:rPr>
          <w:rFonts w:hint="default" w:ascii="方正黑体简体" w:hAnsi="方正黑体简体" w:eastAsia="方正黑体简体" w:cs="方正黑体简体"/>
          <w:i w:val="0"/>
          <w:iCs w:val="0"/>
          <w:color w:val="000000"/>
          <w:kern w:val="0"/>
          <w:sz w:val="24"/>
          <w:szCs w:val="24"/>
          <w:u w:val="none"/>
          <w:lang w:val="en-US" w:eastAsia="zh-CN" w:bidi="ar"/>
        </w:rPr>
        <w:t>附表13</w:t>
      </w:r>
    </w:p>
    <w:p>
      <w:pPr>
        <w:jc w:val="center"/>
        <w:rPr>
          <w:rFonts w:hint="eastAsia" w:ascii="宋体" w:hAnsi="宋体" w:eastAsia="宋体" w:cs="宋体"/>
          <w:b/>
          <w:bCs/>
          <w:i w:val="0"/>
          <w:iCs w:val="0"/>
          <w:color w:val="000000"/>
          <w:kern w:val="0"/>
          <w:sz w:val="30"/>
          <w:szCs w:val="30"/>
          <w:u w:val="none"/>
          <w:lang w:val="en-US" w:eastAsia="zh-CN" w:bidi="ar"/>
        </w:rPr>
      </w:pPr>
      <w:r>
        <w:rPr>
          <w:rFonts w:hint="eastAsia" w:ascii="宋体" w:hAnsi="宋体" w:eastAsia="宋体" w:cs="宋体"/>
          <w:b/>
          <w:bCs/>
          <w:i w:val="0"/>
          <w:iCs w:val="0"/>
          <w:color w:val="000000"/>
          <w:kern w:val="0"/>
          <w:sz w:val="30"/>
          <w:szCs w:val="30"/>
          <w:u w:val="none"/>
          <w:lang w:val="en-US" w:eastAsia="zh-CN" w:bidi="ar"/>
        </w:rPr>
        <w:t>部门预算项目支出绩效目标表（</w:t>
      </w:r>
      <w:r>
        <w:rPr>
          <w:rFonts w:hint="eastAsia" w:ascii="宋体" w:hAnsi="宋体" w:cs="宋体"/>
          <w:b/>
          <w:bCs/>
          <w:i w:val="0"/>
          <w:iCs w:val="0"/>
          <w:color w:val="000000"/>
          <w:kern w:val="0"/>
          <w:sz w:val="30"/>
          <w:szCs w:val="30"/>
          <w:u w:val="none"/>
          <w:lang w:val="en-US" w:eastAsia="zh-CN" w:bidi="ar"/>
        </w:rPr>
        <w:t>2025</w:t>
      </w:r>
      <w:r>
        <w:rPr>
          <w:rFonts w:hint="eastAsia" w:ascii="宋体" w:hAnsi="宋体" w:eastAsia="宋体" w:cs="宋体"/>
          <w:b/>
          <w:bCs/>
          <w:i w:val="0"/>
          <w:iCs w:val="0"/>
          <w:color w:val="000000"/>
          <w:kern w:val="0"/>
          <w:sz w:val="30"/>
          <w:szCs w:val="30"/>
          <w:u w:val="none"/>
          <w:lang w:val="en-US" w:eastAsia="zh-CN" w:bidi="ar"/>
        </w:rPr>
        <w:t>年度）</w:t>
      </w:r>
    </w:p>
    <w:p>
      <w:pPr>
        <w:jc w:val="center"/>
        <w:rPr>
          <w:rFonts w:ascii="方正黑体简体" w:hAnsi="方正黑体简体" w:eastAsia="方正黑体简体" w:cs="方正黑体简体"/>
          <w:color w:val="000000"/>
          <w:kern w:val="0"/>
          <w:sz w:val="24"/>
        </w:rPr>
      </w:pPr>
      <w:r>
        <w:rPr>
          <w:rFonts w:hint="eastAsia" w:ascii="宋体" w:hAnsi="宋体" w:cs="宋体"/>
          <w:b/>
          <w:bCs/>
          <w:i w:val="0"/>
          <w:iCs w:val="0"/>
          <w:color w:val="000000"/>
          <w:kern w:val="0"/>
          <w:sz w:val="30"/>
          <w:szCs w:val="30"/>
          <w:u w:val="none"/>
          <w:lang w:val="en-US" w:eastAsia="zh-CN" w:bidi="ar"/>
        </w:rPr>
        <w:t xml:space="preserve">                                                                       </w:t>
      </w:r>
      <w:r>
        <w:rPr>
          <w:rFonts w:hint="default" w:ascii="宋体" w:hAnsi="宋体" w:eastAsia="宋体" w:cs="宋体"/>
          <w:color w:val="000000"/>
          <w:kern w:val="0"/>
          <w:sz w:val="22"/>
          <w:szCs w:val="22"/>
          <w:lang w:val="en-US" w:eastAsia="zh-CN"/>
        </w:rPr>
        <w:t>金额单位：万元</w:t>
      </w:r>
    </w:p>
    <w:tbl>
      <w:tblPr>
        <w:tblStyle w:val="8"/>
        <w:tblW w:w="136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44"/>
        <w:gridCol w:w="1117"/>
        <w:gridCol w:w="1044"/>
        <w:gridCol w:w="2133"/>
        <w:gridCol w:w="1044"/>
        <w:gridCol w:w="1044"/>
        <w:gridCol w:w="1044"/>
        <w:gridCol w:w="1044"/>
        <w:gridCol w:w="1044"/>
        <w:gridCol w:w="1044"/>
        <w:gridCol w:w="1044"/>
        <w:gridCol w:w="1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单位名称</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项目名称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预算数</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年度目标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一级指标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二级指标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三级指标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指标性质</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指标值</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度量单位</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权重</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指标方向性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635602-广元市政务服务和公共资源交易中心</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网络运行维护费</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24.00 </w:t>
            </w:r>
          </w:p>
        </w:tc>
        <w:tc>
          <w:tcPr>
            <w:tcW w:w="21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通过对公共资源交易场所网络系统及设备的维护确保2025年度市公共资源交易信息中心网络宽带及电话、应急抢险救灾施工队伍储备库信息系统、公共资源交易电子平台管理信息系统、音视频转存系统等信息化硬件、监控视频、网络系统稳定通畅运行。</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维护平台个数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网络正常运行专线个数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维护座机个数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音视频监控系统正常运行率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网络宽带正常运行率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座机电话正常运行率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公共资源交易电子化平台正常运行率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网络维护期</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月</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网络故障处置响应天数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天</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网络设备维修维护费</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网络系统维修维护费</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提升公共资源交易活动服务水平</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工作人员对平台使用满意度</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公共资源交易活动主体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满意度</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635602-广元市政务服务和公共资源交易中心</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交易场地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设施设备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维护费</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10.00 </w:t>
            </w:r>
          </w:p>
        </w:tc>
        <w:tc>
          <w:tcPr>
            <w:tcW w:w="21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通过对交易场所设施设备的维修维护，保障公共资源交易活动正常有序开展；通过对交易活动场所的升级改造，打造一流的示范交易中心。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维护设施设备数量</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维护交易场地面积</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平方米</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设施设备正常运行率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设备故障及时修复天数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天</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设施设备维护时间</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月</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交易场地升级建设费</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设施设备维护费</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提升公共资源交易活动服务水平</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公共资源交易活动主体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满意度</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635602-广元市政务服务和公共资源交易中心</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公共资源交易业务工作经费</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50.23 </w:t>
            </w:r>
          </w:p>
        </w:tc>
        <w:tc>
          <w:tcPr>
            <w:tcW w:w="21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通过开展工程建设项目招投标、政府采购、土地矿权出让等公共资源交易活动，扎实推进公共资源交易平台整合改革，持续推进公共资源交易全流程电子化，深入推进跨区域交易服务，加强工作人员的业务技能培训，为各市场交易主体提供优质高效服务。</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劳务报酬发放人数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项目进场交易数量</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业务培训交流次数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次</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异地远程评标项目占比率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进场项目全流程电子化</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覆盖率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交易档案数字化建设达标率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任务完成时间</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月</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拍卖机构佣金</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其他交易经费支出</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8.23</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评审专家费用</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反向指标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降低企业交易成本</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级</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增加非税收入</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18"/>
                <w:szCs w:val="18"/>
                <w:u w:val="none"/>
              </w:rPr>
            </w:pPr>
          </w:p>
        </w:tc>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i w:val="0"/>
                <w:color w:val="000000"/>
                <w:sz w:val="18"/>
                <w:szCs w:val="18"/>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公共资源交易主体满意度</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正向指标</w:t>
            </w:r>
          </w:p>
        </w:tc>
      </w:tr>
    </w:tbl>
    <w:p>
      <w:pPr>
        <w:jc w:val="both"/>
        <w:rPr>
          <w:rFonts w:hint="eastAsia" w:ascii="方正黑体简体" w:hAnsi="方正黑体简体" w:eastAsia="方正黑体简体" w:cs="方正黑体简体"/>
          <w:color w:val="000000"/>
          <w:kern w:val="0"/>
          <w:sz w:val="24"/>
          <w:lang w:eastAsia="zh-CN"/>
        </w:rPr>
      </w:pPr>
    </w:p>
    <w:p>
      <w:pPr>
        <w:widowControl/>
        <w:jc w:val="both"/>
        <w:textAlignment w:val="center"/>
        <w:rPr>
          <w:rFonts w:hint="eastAsia" w:ascii="宋体" w:hAnsi="宋体" w:eastAsia="宋体" w:cs="宋体"/>
          <w:color w:val="000000"/>
          <w:kern w:val="0"/>
          <w:sz w:val="22"/>
          <w:szCs w:val="22"/>
          <w:lang w:val="en-US" w:eastAsia="zh-CN"/>
        </w:rPr>
      </w:pPr>
    </w:p>
    <w:sectPr>
      <w:pgSz w:w="16838" w:h="11906" w:orient="landscape"/>
      <w:pgMar w:top="1587" w:right="2098" w:bottom="1474" w:left="1984" w:header="720" w:footer="1559"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3F00" w:csb1="01000000"/>
  </w:font>
  <w:font w:name="Liberation Sans">
    <w:panose1 w:val="020B0604020202020204"/>
    <w:charset w:val="00"/>
    <w:family w:val="swiss"/>
    <w:pitch w:val="default"/>
    <w:sig w:usb0="A00002AF" w:usb1="500078FB"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Dialog . plain">
    <w:altName w:val="Mangal"/>
    <w:panose1 w:val="00000000000000000000"/>
    <w:charset w:val="00"/>
    <w:family w:val="auto"/>
    <w:pitch w:val="default"/>
    <w:sig w:usb0="00000000" w:usb1="00000000" w:usb2="00000000" w:usb3="00000000" w:csb0="00000000" w:csb1="00000000"/>
  </w:font>
  <w:font w:name="Mangal">
    <w:panose1 w:val="00000400000000000000"/>
    <w:charset w:val="00"/>
    <w:family w:val="auto"/>
    <w:pitch w:val="default"/>
    <w:sig w:usb0="00008000" w:usb1="00000000" w:usb2="00000000" w:usb3="00000000" w:csb0="00000000" w:csb1="00000000"/>
  </w:font>
  <w:font w:name="Dialog . bold">
    <w:altName w:val="Manga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简体">
    <w:altName w:val="方正黑体_GBK"/>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M6p&#10;ebnPAAAABQEAAA8AAAAAAAAAAQAgAAAAOAAAAGRycy9kb3ducmV2LnhtbFBLAQIUABQAAAAIAIdO&#10;4kBteV5o3QEAAL4DAAAOAAAAAAAAAAEAIAAAADQBAABkcnMvZTJvRG9jLnhtbFBLBQYAAAAABgAG&#10;AFkBAACD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BE09C1"/>
    <w:multiLevelType w:val="singleLevel"/>
    <w:tmpl w:val="D5BE09C1"/>
    <w:lvl w:ilvl="0" w:tentative="0">
      <w:start w:val="1"/>
      <w:numFmt w:val="chineseCounting"/>
      <w:suff w:val="space"/>
      <w:lvlText w:val="第%1部分"/>
      <w:lvlJc w:val="left"/>
      <w:pPr>
        <w:ind w:left="1470"/>
      </w:pPr>
      <w:rPr>
        <w:rFonts w:hint="eastAsia" w:ascii="方正小标宋简体" w:hAnsi="方正小标宋简体" w:eastAsia="方正小标宋简体" w:cs="方正小标宋简体"/>
        <w:sz w:val="44"/>
        <w:szCs w:val="44"/>
      </w:rPr>
    </w:lvl>
  </w:abstractNum>
  <w:abstractNum w:abstractNumId="1">
    <w:nsid w:val="EFCCA986"/>
    <w:multiLevelType w:val="singleLevel"/>
    <w:tmpl w:val="EFCCA986"/>
    <w:lvl w:ilvl="0" w:tentative="0">
      <w:start w:val="1"/>
      <w:numFmt w:val="chineseCounting"/>
      <w:suff w:val="space"/>
      <w:lvlText w:val="第%1部分"/>
      <w:lvlJc w:val="left"/>
      <w:rPr>
        <w:rFonts w:hint="eastAsia" w:ascii="方正小标宋简体" w:hAnsi="方正小标宋简体" w:eastAsia="方正小标宋简体" w:cs="方正小标宋简体"/>
        <w:sz w:val="44"/>
        <w:szCs w:val="44"/>
      </w:rPr>
    </w:lvl>
  </w:abstractNum>
  <w:abstractNum w:abstractNumId="2">
    <w:nsid w:val="3FFF1F26"/>
    <w:multiLevelType w:val="singleLevel"/>
    <w:tmpl w:val="3FFF1F26"/>
    <w:lvl w:ilvl="0" w:tentative="0">
      <w:start w:val="1"/>
      <w:numFmt w:val="chineseCounting"/>
      <w:suff w:val="nothing"/>
      <w:lvlText w:val="%1、"/>
      <w:lvlJc w:val="left"/>
      <w:pPr>
        <w:ind w:left="160" w:leftChars="0" w:firstLine="0" w:firstLineChars="0"/>
      </w:pPr>
      <w:rPr>
        <w:rFonts w:hint="eastAsia"/>
      </w:rPr>
    </w:lvl>
  </w:abstractNum>
  <w:abstractNum w:abstractNumId="3">
    <w:nsid w:val="5BFCE1D6"/>
    <w:multiLevelType w:val="singleLevel"/>
    <w:tmpl w:val="5BFCE1D6"/>
    <w:lvl w:ilvl="0" w:tentative="0">
      <w:start w:val="2"/>
      <w:numFmt w:val="chineseCounting"/>
      <w:suff w:val="nothing"/>
      <w:lvlText w:val="（%1）"/>
      <w:lvlJc w:val="left"/>
      <w:rPr>
        <w:rFonts w:hint="eastAsia"/>
      </w:rPr>
    </w:lvl>
  </w:abstractNum>
  <w:abstractNum w:abstractNumId="4">
    <w:nsid w:val="5ECE03BF"/>
    <w:multiLevelType w:val="singleLevel"/>
    <w:tmpl w:val="5ECE03BF"/>
    <w:lvl w:ilvl="0" w:tentative="0">
      <w:start w:val="1"/>
      <w:numFmt w:val="chineseCounting"/>
      <w:suff w:val="space"/>
      <w:lvlText w:val="第%1部分"/>
      <w:lvlJc w:val="left"/>
      <w:rPr>
        <w:rFonts w:hint="eastAsia"/>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3189"/>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5MTc1YWUzNDk5OThmNzcwNDRiNmRkMjhiZTRiMmMifQ=="/>
  </w:docVars>
  <w:rsids>
    <w:rsidRoot w:val="00172A27"/>
    <w:rsid w:val="012352D1"/>
    <w:rsid w:val="0B235337"/>
    <w:rsid w:val="0EFD2175"/>
    <w:rsid w:val="1D9F113A"/>
    <w:rsid w:val="1DF572DF"/>
    <w:rsid w:val="1F7BF06F"/>
    <w:rsid w:val="1FEE4B73"/>
    <w:rsid w:val="23CE9849"/>
    <w:rsid w:val="2BF73058"/>
    <w:rsid w:val="2CEE9FAD"/>
    <w:rsid w:val="2D7FA923"/>
    <w:rsid w:val="372799D5"/>
    <w:rsid w:val="372F0617"/>
    <w:rsid w:val="37D591BC"/>
    <w:rsid w:val="39750973"/>
    <w:rsid w:val="39AE81D1"/>
    <w:rsid w:val="39F304DD"/>
    <w:rsid w:val="3A9FA42F"/>
    <w:rsid w:val="3CF3702C"/>
    <w:rsid w:val="3EEF8743"/>
    <w:rsid w:val="3EFDEEFD"/>
    <w:rsid w:val="3FBF33F4"/>
    <w:rsid w:val="3FD7CF4D"/>
    <w:rsid w:val="3FDFE771"/>
    <w:rsid w:val="3FEFC40E"/>
    <w:rsid w:val="3FFBC288"/>
    <w:rsid w:val="3FFE552E"/>
    <w:rsid w:val="3FFEA2A5"/>
    <w:rsid w:val="3FFF8D88"/>
    <w:rsid w:val="46CFEED0"/>
    <w:rsid w:val="54244390"/>
    <w:rsid w:val="54662A63"/>
    <w:rsid w:val="55EB6693"/>
    <w:rsid w:val="57DF6607"/>
    <w:rsid w:val="58064E12"/>
    <w:rsid w:val="58B3AADF"/>
    <w:rsid w:val="59D706C8"/>
    <w:rsid w:val="5B2EE443"/>
    <w:rsid w:val="5BC989BE"/>
    <w:rsid w:val="5BFEE015"/>
    <w:rsid w:val="5CB9B0A9"/>
    <w:rsid w:val="5DFD075F"/>
    <w:rsid w:val="5EAF755E"/>
    <w:rsid w:val="5EE774A3"/>
    <w:rsid w:val="5F0BC27D"/>
    <w:rsid w:val="5F4B475B"/>
    <w:rsid w:val="5F57EF0D"/>
    <w:rsid w:val="5F9B17DF"/>
    <w:rsid w:val="5FE6BD66"/>
    <w:rsid w:val="5FF679D4"/>
    <w:rsid w:val="5FF797FE"/>
    <w:rsid w:val="5FF7CC41"/>
    <w:rsid w:val="5FF7F98D"/>
    <w:rsid w:val="63EDCF55"/>
    <w:rsid w:val="63FBFBCF"/>
    <w:rsid w:val="642655E6"/>
    <w:rsid w:val="669360FD"/>
    <w:rsid w:val="66DDDC2F"/>
    <w:rsid w:val="6767894E"/>
    <w:rsid w:val="67F708DC"/>
    <w:rsid w:val="68FF6A83"/>
    <w:rsid w:val="69DE957E"/>
    <w:rsid w:val="6AEF6005"/>
    <w:rsid w:val="6BEFE262"/>
    <w:rsid w:val="6BFF0F0F"/>
    <w:rsid w:val="6CB7988D"/>
    <w:rsid w:val="6DD2BA76"/>
    <w:rsid w:val="6E3DB48E"/>
    <w:rsid w:val="6F73BD25"/>
    <w:rsid w:val="6F7F0108"/>
    <w:rsid w:val="6F7F220A"/>
    <w:rsid w:val="6FBBC9CF"/>
    <w:rsid w:val="6FF5302E"/>
    <w:rsid w:val="7157DF28"/>
    <w:rsid w:val="71EE60F2"/>
    <w:rsid w:val="72BDE561"/>
    <w:rsid w:val="736F3EC6"/>
    <w:rsid w:val="737363D4"/>
    <w:rsid w:val="73FBB1B2"/>
    <w:rsid w:val="74DDF34B"/>
    <w:rsid w:val="75AD971E"/>
    <w:rsid w:val="75E615CA"/>
    <w:rsid w:val="771DC2C7"/>
    <w:rsid w:val="7752BF20"/>
    <w:rsid w:val="77D1B65E"/>
    <w:rsid w:val="77F9D24B"/>
    <w:rsid w:val="78462278"/>
    <w:rsid w:val="7976A44C"/>
    <w:rsid w:val="7997EA6C"/>
    <w:rsid w:val="79D30588"/>
    <w:rsid w:val="7AEAE675"/>
    <w:rsid w:val="7B7F20C8"/>
    <w:rsid w:val="7BAD6D63"/>
    <w:rsid w:val="7BAFCE5D"/>
    <w:rsid w:val="7BD561F0"/>
    <w:rsid w:val="7BFF2268"/>
    <w:rsid w:val="7C2F6771"/>
    <w:rsid w:val="7C7E5B78"/>
    <w:rsid w:val="7D46598C"/>
    <w:rsid w:val="7D5E0A44"/>
    <w:rsid w:val="7D6F189C"/>
    <w:rsid w:val="7D9F8F0F"/>
    <w:rsid w:val="7DEF30D5"/>
    <w:rsid w:val="7DEF3623"/>
    <w:rsid w:val="7DF7A8A2"/>
    <w:rsid w:val="7DFB240B"/>
    <w:rsid w:val="7DFE05E7"/>
    <w:rsid w:val="7DFF9AC9"/>
    <w:rsid w:val="7E0298DB"/>
    <w:rsid w:val="7E0935ED"/>
    <w:rsid w:val="7EB768EF"/>
    <w:rsid w:val="7EBFF38A"/>
    <w:rsid w:val="7ED7A56A"/>
    <w:rsid w:val="7EDF0DB2"/>
    <w:rsid w:val="7EEA563F"/>
    <w:rsid w:val="7EFF9CE8"/>
    <w:rsid w:val="7F2D0C9E"/>
    <w:rsid w:val="7F7C5427"/>
    <w:rsid w:val="7F7F3B5A"/>
    <w:rsid w:val="7F92F7A8"/>
    <w:rsid w:val="7FBE7D77"/>
    <w:rsid w:val="7FCF2AF7"/>
    <w:rsid w:val="7FF7ED12"/>
    <w:rsid w:val="7FFFE21B"/>
    <w:rsid w:val="9B375127"/>
    <w:rsid w:val="9FCE0800"/>
    <w:rsid w:val="9FEF033D"/>
    <w:rsid w:val="9FFD96D6"/>
    <w:rsid w:val="A27FF1E5"/>
    <w:rsid w:val="A2F130A9"/>
    <w:rsid w:val="A4F9D32D"/>
    <w:rsid w:val="A5CD9C69"/>
    <w:rsid w:val="A9CFD93D"/>
    <w:rsid w:val="ABFEA5DB"/>
    <w:rsid w:val="AEFDB768"/>
    <w:rsid w:val="AF3FEDDD"/>
    <w:rsid w:val="AFDEB5A7"/>
    <w:rsid w:val="AFEA7FBF"/>
    <w:rsid w:val="B2FFDD57"/>
    <w:rsid w:val="B7CF8A3D"/>
    <w:rsid w:val="B7FD55CA"/>
    <w:rsid w:val="B83F4767"/>
    <w:rsid w:val="BBB3D44B"/>
    <w:rsid w:val="BBB6D9E3"/>
    <w:rsid w:val="BBEB0FEE"/>
    <w:rsid w:val="BCEF904C"/>
    <w:rsid w:val="BCFBAC91"/>
    <w:rsid w:val="BD7F74D6"/>
    <w:rsid w:val="BEDF614F"/>
    <w:rsid w:val="BF777B23"/>
    <w:rsid w:val="BF930F07"/>
    <w:rsid w:val="BFCE8436"/>
    <w:rsid w:val="BFEBE5B9"/>
    <w:rsid w:val="BFF696BC"/>
    <w:rsid w:val="C3F7EB7A"/>
    <w:rsid w:val="CBB337F8"/>
    <w:rsid w:val="CFABBBA1"/>
    <w:rsid w:val="CFBD8222"/>
    <w:rsid w:val="CFD64687"/>
    <w:rsid w:val="CFF1B432"/>
    <w:rsid w:val="CFF5FEEC"/>
    <w:rsid w:val="D37E2576"/>
    <w:rsid w:val="D3DD9064"/>
    <w:rsid w:val="D3E6AA71"/>
    <w:rsid w:val="D5A714A8"/>
    <w:rsid w:val="D6F76A0C"/>
    <w:rsid w:val="D6FFC71D"/>
    <w:rsid w:val="D77F13C4"/>
    <w:rsid w:val="D7CFA4D0"/>
    <w:rsid w:val="D7ECE8D2"/>
    <w:rsid w:val="DB1F975B"/>
    <w:rsid w:val="DB7F9806"/>
    <w:rsid w:val="DD2BC8C0"/>
    <w:rsid w:val="DEFF8BA1"/>
    <w:rsid w:val="DFAB852B"/>
    <w:rsid w:val="DFAFE5D0"/>
    <w:rsid w:val="DFDD4FB5"/>
    <w:rsid w:val="DFEF5621"/>
    <w:rsid w:val="DFFFF5D1"/>
    <w:rsid w:val="E3FC5BBD"/>
    <w:rsid w:val="E4850BD1"/>
    <w:rsid w:val="E7DF67C7"/>
    <w:rsid w:val="E7F748B5"/>
    <w:rsid w:val="E7FFB153"/>
    <w:rsid w:val="E9FE5305"/>
    <w:rsid w:val="EBFE29F4"/>
    <w:rsid w:val="EDDCD47D"/>
    <w:rsid w:val="EDFF8577"/>
    <w:rsid w:val="EE5F3713"/>
    <w:rsid w:val="EEFD45E3"/>
    <w:rsid w:val="EF77DD1A"/>
    <w:rsid w:val="EFC9D62C"/>
    <w:rsid w:val="EFF34A7D"/>
    <w:rsid w:val="EFF5C944"/>
    <w:rsid w:val="EFFF7446"/>
    <w:rsid w:val="EFFF898D"/>
    <w:rsid w:val="EFFFC400"/>
    <w:rsid w:val="F2FE4DD3"/>
    <w:rsid w:val="F3E735CD"/>
    <w:rsid w:val="F4DFD77C"/>
    <w:rsid w:val="F59EEA79"/>
    <w:rsid w:val="F61F91D3"/>
    <w:rsid w:val="F6BE9755"/>
    <w:rsid w:val="F6FFA89B"/>
    <w:rsid w:val="F6FFE9FC"/>
    <w:rsid w:val="F7FFA4EB"/>
    <w:rsid w:val="F88D0DC7"/>
    <w:rsid w:val="F96AAEBC"/>
    <w:rsid w:val="F9CF2F70"/>
    <w:rsid w:val="FADD7F3B"/>
    <w:rsid w:val="FAE4EFE1"/>
    <w:rsid w:val="FB7F4A1A"/>
    <w:rsid w:val="FB9B6F12"/>
    <w:rsid w:val="FBB66A4A"/>
    <w:rsid w:val="FBCF8DB1"/>
    <w:rsid w:val="FBD54E0A"/>
    <w:rsid w:val="FBDE2A0C"/>
    <w:rsid w:val="FBEB55DA"/>
    <w:rsid w:val="FBF675F2"/>
    <w:rsid w:val="FBF7C4DC"/>
    <w:rsid w:val="FD716421"/>
    <w:rsid w:val="FD7FF144"/>
    <w:rsid w:val="FD9F13EE"/>
    <w:rsid w:val="FDEE6989"/>
    <w:rsid w:val="FDFAF004"/>
    <w:rsid w:val="FE3FE3D1"/>
    <w:rsid w:val="FEAB0F50"/>
    <w:rsid w:val="FECC3754"/>
    <w:rsid w:val="FEFDFB1E"/>
    <w:rsid w:val="FEFF0922"/>
    <w:rsid w:val="FF4DFF71"/>
    <w:rsid w:val="FF5E7DB8"/>
    <w:rsid w:val="FF77E367"/>
    <w:rsid w:val="FF7F490D"/>
    <w:rsid w:val="FF976320"/>
    <w:rsid w:val="FF9F634A"/>
    <w:rsid w:val="FFAF3C2E"/>
    <w:rsid w:val="FFB480A0"/>
    <w:rsid w:val="FFB74622"/>
    <w:rsid w:val="FFBA792E"/>
    <w:rsid w:val="FFBAE0B7"/>
    <w:rsid w:val="FFD576EB"/>
    <w:rsid w:val="FFD984C0"/>
    <w:rsid w:val="FFD9CA4F"/>
    <w:rsid w:val="FFDB1578"/>
    <w:rsid w:val="FFF773AD"/>
    <w:rsid w:val="FFFADE43"/>
    <w:rsid w:val="FFFBE8B7"/>
    <w:rsid w:val="FFFF576F"/>
    <w:rsid w:val="FFFFC4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9">
    <w:name w:val="Default Paragraph Font"/>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caption"/>
    <w:basedOn w:val="1"/>
    <w:next w:val="1"/>
    <w:qFormat/>
    <w:uiPriority w:val="0"/>
    <w:pPr>
      <w:widowControl w:val="0"/>
      <w:suppressLineNumbers/>
      <w:suppressAutoHyphens/>
      <w:spacing w:before="120" w:after="120"/>
    </w:pPr>
    <w:rPr>
      <w:i/>
      <w:iCs/>
      <w:sz w:val="24"/>
      <w:szCs w:val="24"/>
    </w:rPr>
  </w:style>
  <w:style w:type="paragraph" w:styleId="3">
    <w:name w:val="Body Text"/>
    <w:basedOn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w:basedOn w:val="3"/>
    <w:qFormat/>
    <w:uiPriority w:val="0"/>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BodyText1I2"/>
    <w:basedOn w:val="11"/>
    <w:next w:val="1"/>
    <w:qFormat/>
    <w:uiPriority w:val="0"/>
    <w:pPr>
      <w:spacing w:after="120" w:line="240" w:lineRule="auto"/>
      <w:ind w:left="200" w:leftChars="200" w:firstLine="200" w:firstLineChars="200"/>
      <w:jc w:val="both"/>
    </w:pPr>
  </w:style>
  <w:style w:type="paragraph" w:customStyle="1" w:styleId="11">
    <w:name w:val="BodyTextIndent"/>
    <w:basedOn w:val="1"/>
    <w:qFormat/>
    <w:uiPriority w:val="0"/>
    <w:pPr>
      <w:spacing w:after="120" w:line="240" w:lineRule="auto"/>
      <w:ind w:left="200" w:leftChars="200"/>
      <w:jc w:val="both"/>
    </w:pPr>
  </w:style>
  <w:style w:type="character" w:customStyle="1" w:styleId="12">
    <w:name w:val="默认段落字体1"/>
    <w:qFormat/>
    <w:uiPriority w:val="0"/>
  </w:style>
  <w:style w:type="paragraph" w:customStyle="1" w:styleId="13">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4">
    <w:name w:val="Index"/>
    <w:basedOn w:val="1"/>
    <w:qFormat/>
    <w:uiPriority w:val="0"/>
    <w:pPr>
      <w:widowControl w:val="0"/>
      <w:suppressLineNumbers/>
      <w:suppressAutoHyphens/>
    </w:pPr>
  </w:style>
  <w:style w:type="character" w:customStyle="1" w:styleId="15">
    <w:name w:val="font61"/>
    <w:basedOn w:val="9"/>
    <w:qFormat/>
    <w:uiPriority w:val="0"/>
    <w:rPr>
      <w:rFonts w:hint="eastAsia" w:ascii="宋体" w:hAnsi="宋体" w:eastAsia="宋体" w:cs="宋体"/>
      <w:color w:val="000000"/>
      <w:sz w:val="22"/>
      <w:szCs w:val="22"/>
      <w:u w:val="none"/>
    </w:rPr>
  </w:style>
  <w:style w:type="character" w:customStyle="1" w:styleId="16">
    <w:name w:val="font5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2"/>
      <w:szCs w:val="22"/>
      <w:u w:val="none"/>
    </w:rPr>
  </w:style>
  <w:style w:type="character" w:customStyle="1" w:styleId="18">
    <w:name w:val="font41"/>
    <w:basedOn w:val="9"/>
    <w:qFormat/>
    <w:uiPriority w:val="0"/>
    <w:rPr>
      <w:rFonts w:hint="eastAsia" w:ascii="宋体" w:hAnsi="宋体" w:eastAsia="宋体" w:cs="宋体"/>
      <w:color w:val="000000"/>
      <w:sz w:val="22"/>
      <w:szCs w:val="22"/>
      <w:u w:val="none"/>
    </w:rPr>
  </w:style>
  <w:style w:type="character" w:customStyle="1" w:styleId="19">
    <w:name w:val="font11"/>
    <w:basedOn w:val="9"/>
    <w:qFormat/>
    <w:uiPriority w:val="0"/>
    <w:rPr>
      <w:rFonts w:ascii="Dialog . plain" w:hAnsi="Dialog . plain" w:eastAsia="Dialog . plain" w:cs="Dialog . plain"/>
      <w:color w:val="000000"/>
      <w:sz w:val="22"/>
      <w:szCs w:val="22"/>
      <w:u w:val="none"/>
    </w:rPr>
  </w:style>
  <w:style w:type="character" w:customStyle="1" w:styleId="20">
    <w:name w:val="font01"/>
    <w:basedOn w:val="9"/>
    <w:qFormat/>
    <w:uiPriority w:val="0"/>
    <w:rPr>
      <w:rFonts w:ascii="Dialog . bold" w:hAnsi="Dialog . bold" w:eastAsia="Dialog . bold" w:cs="Dialog . bold"/>
      <w:b/>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5151</Words>
  <Characters>5512</Characters>
  <Lines>1</Lines>
  <Paragraphs>1</Paragraphs>
  <TotalTime>22</TotalTime>
  <ScaleCrop>false</ScaleCrop>
  <LinksUpToDate>false</LinksUpToDate>
  <CharactersWithSpaces>5782</CharactersWithSpaces>
  <Application>WPS Office_11.8.2.1125_F1E327BC-269C-435d-A152-05C5408002CA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2018-12-04T17:47:00Z</dcterms:created>
  <dc:creator>admin</dc:creator>
  <cp:lastModifiedBy> </cp:lastModifiedBy>
  <dcterms:modified xsi:type="dcterms:W3CDTF">2025-02-19T11:44:08Z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2052-11.8.2.1125</vt:lpwstr>
  </property>
  <property fmtid="{D5CDD505-2E9C-101B-9397-08002B2CF9AE}" pid="3" name="ICV">
    <vt:lpwstr>96081F72B7444D3C8C1C7DDAED24732C_13</vt:lpwstr>
  </property>
  <property fmtid="{D5CDD505-2E9C-101B-9397-08002B2CF9AE}" pid="4" name="KSOTemplateDocerSaveRecord">
    <vt:lpwstr>eyJoZGlkIjoiZmQzMTU5NmIzMTdiYjAyM2ZjZDg3NzBhMmYyNDA5MDUiLCJ1c2VySWQiOiIxMjk3ODc3NDUxIn0=</vt:lpwstr>
  </property>
</Properties>
</file>